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A411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KISA ÜRÜN BİLGİSİ</w:t>
      </w:r>
    </w:p>
    <w:p w14:paraId="7520650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</w:p>
    <w:p w14:paraId="76D17F0F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BEŞERİ TIBBİ ÜRÜNÜN ADI</w:t>
      </w:r>
    </w:p>
    <w:p w14:paraId="5E044C79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5F698B1" w14:textId="01C824B8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APROKAM 50 mg </w:t>
      </w:r>
      <w:proofErr w:type="spellStart"/>
      <w:r w:rsidR="00C37915">
        <w:rPr>
          <w:rFonts w:ascii="Times New Roman" w:hAnsi="Times New Roman"/>
          <w:snapToGrid w:val="0"/>
          <w:szCs w:val="24"/>
          <w:lang w:eastAsia="tr-TR"/>
        </w:rPr>
        <w:t>İ</w:t>
      </w:r>
      <w:r w:rsidRPr="00907E58">
        <w:rPr>
          <w:rFonts w:ascii="Times New Roman" w:hAnsi="Times New Roman"/>
          <w:snapToGrid w:val="0"/>
          <w:szCs w:val="24"/>
          <w:lang w:eastAsia="tr-TR"/>
        </w:rPr>
        <w:t>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="00C37915">
        <w:rPr>
          <w:rFonts w:ascii="Times New Roman" w:hAnsi="Times New Roman"/>
          <w:snapToGrid w:val="0"/>
          <w:szCs w:val="24"/>
          <w:lang w:eastAsia="tr-TR"/>
        </w:rPr>
        <w:t>E</w:t>
      </w:r>
      <w:r w:rsidRPr="00907E58">
        <w:rPr>
          <w:rFonts w:ascii="Times New Roman" w:hAnsi="Times New Roman"/>
          <w:snapToGrid w:val="0"/>
          <w:szCs w:val="24"/>
          <w:lang w:eastAsia="tr-TR"/>
        </w:rPr>
        <w:t>njeksiyonluk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r w:rsidRPr="00AE0927">
        <w:rPr>
          <w:rFonts w:ascii="Times New Roman" w:hAnsi="Times New Roman"/>
          <w:snapToGrid w:val="0"/>
          <w:szCs w:val="24"/>
          <w:lang w:eastAsia="tr-TR"/>
        </w:rPr>
        <w:t>çözelti tozu</w:t>
      </w:r>
      <w:r w:rsidR="00C37915">
        <w:rPr>
          <w:rFonts w:ascii="Times New Roman" w:hAnsi="Times New Roman"/>
          <w:snapToGrid w:val="0"/>
          <w:szCs w:val="24"/>
          <w:lang w:eastAsia="tr-TR"/>
        </w:rPr>
        <w:t xml:space="preserve"> </w:t>
      </w:r>
    </w:p>
    <w:p w14:paraId="404CBD3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B044EBB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KALİTATİF VE KANTİTATİF BİLEŞİM</w:t>
      </w:r>
    </w:p>
    <w:p w14:paraId="4F4D550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4C368A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Etkin madde:</w:t>
      </w:r>
    </w:p>
    <w:p w14:paraId="37936FB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Her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flakon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50 mg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içerir (52,6 mg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sodyuma eşdeğer).</w:t>
      </w:r>
    </w:p>
    <w:p w14:paraId="2E329D06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6BEB03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5 ml çözücü ile sulandırıldıktan sonra (bkz. bölüm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6.6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), 0,1 ml çözelti 1 mg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içerir.</w:t>
      </w:r>
    </w:p>
    <w:p w14:paraId="3C7B214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AB928FD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bCs/>
          <w:color w:val="000000"/>
          <w:szCs w:val="24"/>
        </w:rPr>
        <w:t>Yardımcı maddeler:</w:t>
      </w:r>
    </w:p>
    <w:p w14:paraId="0C665D96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Yardımcı maddeler için bölüm 6.1’e bakınız.</w:t>
      </w:r>
    </w:p>
    <w:p w14:paraId="4E20F7A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1C9389A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FARMASÖTİK FORM</w:t>
      </w:r>
    </w:p>
    <w:p w14:paraId="7F8D469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9DAA044" w14:textId="178C44E0" w:rsidR="00063416" w:rsidRPr="00907E58" w:rsidRDefault="00A817A4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Enjeksiyonluk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çözelti tozu.</w:t>
      </w:r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</w:p>
    <w:p w14:paraId="4769F2A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Beyaz ila beyaza yakın toz.</w:t>
      </w:r>
    </w:p>
    <w:p w14:paraId="468DD1BF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49B47343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KLİNİK ÖZELLİKLER</w:t>
      </w:r>
    </w:p>
    <w:p w14:paraId="2AB6BA3E" w14:textId="77777777" w:rsidR="00063416" w:rsidRPr="00907E58" w:rsidRDefault="00063416" w:rsidP="00907E58">
      <w:pPr>
        <w:pStyle w:val="ListParagraph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</w:p>
    <w:p w14:paraId="3F139B63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t>Terapötik</w:t>
      </w:r>
      <w:proofErr w:type="spellEnd"/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t>endikasyonlar</w:t>
      </w:r>
      <w:proofErr w:type="spellEnd"/>
    </w:p>
    <w:p w14:paraId="374F7C41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Katarakt cerrahisinden sonra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postoperatif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endoftalminin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antibiyotik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profilaksisinde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endikedir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(bkz. bölüm 5.1). </w:t>
      </w:r>
    </w:p>
    <w:p w14:paraId="7F5EAA7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15A8001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t>Pozoloji</w:t>
      </w:r>
      <w:proofErr w:type="spellEnd"/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 ve uygulama şekli</w:t>
      </w:r>
    </w:p>
    <w:p w14:paraId="58B0525C" w14:textId="4A66A43A" w:rsidR="00063416" w:rsidRPr="00907E58" w:rsidRDefault="00A817A4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E12727">
        <w:rPr>
          <w:rFonts w:ascii="Times New Roman" w:hAnsi="Times New Roman"/>
          <w:snapToGrid w:val="0"/>
          <w:szCs w:val="24"/>
          <w:lang w:eastAsia="tr-TR"/>
        </w:rPr>
        <w:t>Göz içi (</w:t>
      </w:r>
      <w:proofErr w:type="spellStart"/>
      <w:r w:rsidRPr="00E12727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E12727">
        <w:rPr>
          <w:rFonts w:ascii="Times New Roman" w:hAnsi="Times New Roman"/>
          <w:snapToGrid w:val="0"/>
          <w:szCs w:val="24"/>
          <w:lang w:eastAsia="tr-TR"/>
        </w:rPr>
        <w:t>) enjeksiyona</w:t>
      </w:r>
      <w:r w:rsidR="00063416" w:rsidRPr="00E12727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yöneliktir.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</w:t>
      </w:r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lakon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tek kullanımlıktır</w:t>
      </w:r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.</w:t>
      </w:r>
    </w:p>
    <w:p w14:paraId="7F54872F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071899BC" w14:textId="77777777" w:rsidR="00B94551" w:rsidRPr="00907E58" w:rsidRDefault="00B94551" w:rsidP="00907E58">
      <w:pPr>
        <w:suppressAutoHyphens/>
        <w:spacing w:line="276" w:lineRule="auto"/>
        <w:jc w:val="both"/>
        <w:rPr>
          <w:rFonts w:ascii="Times New Roman" w:hAnsi="Times New Roman"/>
          <w:i/>
          <w:noProof/>
          <w:szCs w:val="24"/>
        </w:rPr>
      </w:pPr>
      <w:r w:rsidRPr="00907E58">
        <w:rPr>
          <w:rFonts w:ascii="Times New Roman" w:hAnsi="Times New Roman"/>
          <w:b/>
          <w:bCs/>
          <w:noProof/>
          <w:szCs w:val="24"/>
        </w:rPr>
        <w:t>Pozoloji/uygulama sıklı</w:t>
      </w:r>
      <w:r w:rsidRPr="00907E58">
        <w:rPr>
          <w:rFonts w:ascii="Times New Roman" w:hAnsi="Times New Roman"/>
          <w:b/>
          <w:noProof/>
          <w:szCs w:val="24"/>
        </w:rPr>
        <w:t>ğ</w:t>
      </w:r>
      <w:r w:rsidRPr="00907E58">
        <w:rPr>
          <w:rFonts w:ascii="Times New Roman" w:hAnsi="Times New Roman"/>
          <w:b/>
          <w:bCs/>
          <w:noProof/>
          <w:szCs w:val="24"/>
        </w:rPr>
        <w:t>ı ve süresi:</w:t>
      </w:r>
    </w:p>
    <w:p w14:paraId="6F8D1C1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Önerilen doz 0,1 ml sulandırılmış çözelti (bkz. bölüm 6.6), yani 1 mg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sefuroksimdir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>. ÖNERİLEN DOZDAN FAZLASINI ENJEKTE ETMEYİNİZ (bkz. bölüm 4.9).</w:t>
      </w:r>
    </w:p>
    <w:p w14:paraId="137A8D13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CD4DE6E" w14:textId="55CE7692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Uygulama şekli</w:t>
      </w:r>
      <w:r w:rsidR="00B94551" w:rsidRPr="00907E58">
        <w:rPr>
          <w:rFonts w:ascii="Times New Roman" w:hAnsi="Times New Roman"/>
          <w:b/>
          <w:snapToGrid w:val="0"/>
          <w:szCs w:val="24"/>
          <w:lang w:eastAsia="tr-TR"/>
        </w:rPr>
        <w:t>:</w:t>
      </w:r>
    </w:p>
    <w:p w14:paraId="4A7FCFE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APROKAM, katarakt ameliyatı için önerilen aseptik koşullarda, bir göz cerrahı tarafından, sulandırıldıktan sonra, gözün ön kamarasına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intraoküler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enjeksiyon yoluyla uygulanmalıdır (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kullanım).</w:t>
      </w:r>
    </w:p>
    <w:p w14:paraId="2457CD3A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768EAA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APROKAM, sulandırıldıktan sonra, uygulama öncesinde partikül ve renk değişikliği için görsel olarak incelenmelidir.</w:t>
      </w:r>
    </w:p>
    <w:p w14:paraId="6EFF1EE6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C365468" w14:textId="77777777" w:rsidR="00B94551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Katarakt cerrahisinin sonunda 0,1 ml sulandırılmış çözelti gözün ön kamarasına yavaşça enjekte edilmelidir.</w:t>
      </w:r>
      <w:r w:rsidR="00B94551"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</w:p>
    <w:p w14:paraId="4D87BB92" w14:textId="2B511018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lastRenderedPageBreak/>
        <w:t>Uygulama öncesi tıbbi ürünün çözelti olarak hazırlanması talimatları için bölüm 6.6’ya bakınız.</w:t>
      </w:r>
    </w:p>
    <w:p w14:paraId="34D2F2A4" w14:textId="77777777" w:rsidR="00907E58" w:rsidRPr="00907E58" w:rsidRDefault="00907E58" w:rsidP="00907E58">
      <w:pPr>
        <w:suppressAutoHyphens/>
        <w:spacing w:line="276" w:lineRule="auto"/>
        <w:ind w:right="-567"/>
        <w:jc w:val="both"/>
        <w:rPr>
          <w:rFonts w:ascii="Times New Roman" w:hAnsi="Times New Roman"/>
          <w:b/>
          <w:bCs/>
          <w:noProof/>
          <w:szCs w:val="24"/>
        </w:rPr>
      </w:pPr>
    </w:p>
    <w:p w14:paraId="59ADE745" w14:textId="77777777" w:rsidR="00B94551" w:rsidRPr="00907E58" w:rsidRDefault="00B94551" w:rsidP="00907E58">
      <w:pPr>
        <w:suppressAutoHyphens/>
        <w:spacing w:line="276" w:lineRule="auto"/>
        <w:ind w:right="-567"/>
        <w:jc w:val="both"/>
        <w:rPr>
          <w:rFonts w:ascii="Times New Roman" w:hAnsi="Times New Roman"/>
          <w:b/>
          <w:bCs/>
          <w:noProof/>
          <w:szCs w:val="24"/>
        </w:rPr>
      </w:pPr>
      <w:r w:rsidRPr="00907E58">
        <w:rPr>
          <w:rFonts w:ascii="Times New Roman" w:hAnsi="Times New Roman"/>
          <w:b/>
          <w:bCs/>
          <w:noProof/>
          <w:szCs w:val="24"/>
        </w:rPr>
        <w:t>Özel popülasyonlara ilişkin ek bilgiler:</w:t>
      </w:r>
    </w:p>
    <w:p w14:paraId="7F8E3860" w14:textId="77777777" w:rsidR="00B94551" w:rsidRPr="00907E58" w:rsidRDefault="00B94551" w:rsidP="00907E58">
      <w:pPr>
        <w:suppressAutoHyphens/>
        <w:spacing w:line="276" w:lineRule="auto"/>
        <w:ind w:right="-567"/>
        <w:jc w:val="both"/>
        <w:rPr>
          <w:rFonts w:ascii="Times New Roman" w:hAnsi="Times New Roman"/>
          <w:b/>
          <w:bCs/>
          <w:noProof/>
          <w:szCs w:val="24"/>
        </w:rPr>
      </w:pPr>
      <w:r w:rsidRPr="00907E58">
        <w:rPr>
          <w:rFonts w:ascii="Times New Roman" w:hAnsi="Times New Roman"/>
          <w:b/>
          <w:bCs/>
          <w:noProof/>
          <w:szCs w:val="24"/>
        </w:rPr>
        <w:t>Böbrek/Karaciğer yetmezliği:</w:t>
      </w:r>
    </w:p>
    <w:p w14:paraId="3279BE38" w14:textId="77777777" w:rsidR="00B94551" w:rsidRPr="00907E58" w:rsidRDefault="00B94551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APROKAM’ın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düşük dozu ve kullanım sonrası göz ardı edilebilir düzeyde sistemik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maruziyeti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dikkate alındığında, herhangi bir doz ayarlamasına gerek yoktur.</w:t>
      </w:r>
    </w:p>
    <w:p w14:paraId="719FEC7B" w14:textId="77777777" w:rsidR="00B94551" w:rsidRPr="00907E58" w:rsidRDefault="00B94551" w:rsidP="00907E58">
      <w:pPr>
        <w:suppressAutoHyphens/>
        <w:spacing w:line="276" w:lineRule="auto"/>
        <w:ind w:right="-567"/>
        <w:jc w:val="both"/>
        <w:rPr>
          <w:rFonts w:ascii="Times New Roman" w:hAnsi="Times New Roman"/>
          <w:noProof/>
          <w:szCs w:val="24"/>
          <w:u w:val="single"/>
        </w:rPr>
      </w:pPr>
      <w:r w:rsidRPr="00907E58">
        <w:rPr>
          <w:rFonts w:ascii="Times New Roman" w:hAnsi="Times New Roman"/>
          <w:b/>
          <w:bCs/>
          <w:noProof/>
          <w:szCs w:val="24"/>
        </w:rPr>
        <w:t>Pediyatrik popülasyon:</w:t>
      </w:r>
    </w:p>
    <w:p w14:paraId="2C621354" w14:textId="77777777" w:rsidR="00B94551" w:rsidRPr="00907E58" w:rsidRDefault="00B94551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APROKAM’ın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optimal dozu ve güvenliliği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pediyatrik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popülasyonda araştırılmamıştır.</w:t>
      </w:r>
    </w:p>
    <w:p w14:paraId="78531F52" w14:textId="77777777" w:rsidR="00B94551" w:rsidRPr="00907E58" w:rsidRDefault="00B94551" w:rsidP="00907E58">
      <w:pPr>
        <w:suppressAutoHyphens/>
        <w:spacing w:line="276" w:lineRule="auto"/>
        <w:ind w:right="-567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b/>
          <w:bCs/>
          <w:noProof/>
          <w:szCs w:val="24"/>
        </w:rPr>
        <w:t>Geriyatrik popülasyon:</w:t>
      </w:r>
    </w:p>
    <w:p w14:paraId="27E57B3C" w14:textId="77777777" w:rsidR="00B94551" w:rsidRPr="00907E58" w:rsidRDefault="00B94551" w:rsidP="00907E58">
      <w:pPr>
        <w:suppressAutoHyphens/>
        <w:spacing w:line="276" w:lineRule="auto"/>
        <w:ind w:right="-567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</w:rPr>
        <w:t>Herhangi bir doz ayarlamasına gerek yoktur.</w:t>
      </w:r>
    </w:p>
    <w:p w14:paraId="6B339C3D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35FDC5F3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t>Kontrendikasyonlar</w:t>
      </w:r>
      <w:proofErr w:type="spellEnd"/>
    </w:p>
    <w:p w14:paraId="7D22693B" w14:textId="571393A6" w:rsidR="00063416" w:rsidRPr="00907E58" w:rsidRDefault="00B94551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/>
          <w:szCs w:val="24"/>
          <w:lang w:eastAsia="ko-K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APROKAM,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</w:t>
      </w:r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efuroksim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veya 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sefalosporin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grubu antibiyotiklerin herhangi birine </w:t>
      </w:r>
      <w:r w:rsidRPr="00907E58">
        <w:rPr>
          <w:rFonts w:ascii="Times New Roman" w:hAnsi="Times New Roman"/>
          <w:noProof/>
          <w:szCs w:val="24"/>
          <w:lang w:eastAsia="ko-KR"/>
        </w:rPr>
        <w:t>karşı aşırı duyarlılığı olanlarda kullanılmamalıdır.</w:t>
      </w:r>
    </w:p>
    <w:p w14:paraId="25143D78" w14:textId="77777777" w:rsidR="00B94551" w:rsidRPr="00907E58" w:rsidRDefault="00B94551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C2BE556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Özel kullanım uyarıları ve önlemleri</w:t>
      </w:r>
    </w:p>
    <w:p w14:paraId="3669F40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APROKAM tedavisi yalnızca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kullanıma yöneliktir.</w:t>
      </w:r>
    </w:p>
    <w:p w14:paraId="19C37A0D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B2DFF7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Çapraz reaksiyon meydana gelebileceğinden, penisilin veya beta-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laktam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antibiyotiklere karşı alerjik reaksiyon öyküsü olan hastalarda özelikle dikkatli olunması gerekmektedir.</w:t>
      </w:r>
    </w:p>
    <w:p w14:paraId="2EAE61A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2E53362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Dirençli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suşlarla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enfeksiyon riski olan hastalarda, MRSA (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Metisiline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dirençli </w:t>
      </w:r>
      <w:proofErr w:type="spellStart"/>
      <w:r w:rsidRPr="00907E58">
        <w:rPr>
          <w:rFonts w:ascii="Times New Roman" w:hAnsi="Times New Roman"/>
          <w:i/>
          <w:snapToGrid w:val="0"/>
          <w:szCs w:val="24"/>
          <w:lang w:eastAsia="tr-TR"/>
        </w:rPr>
        <w:t>Staphylococcus</w:t>
      </w:r>
      <w:proofErr w:type="spellEnd"/>
      <w:r w:rsidRPr="00907E58">
        <w:rPr>
          <w:rFonts w:ascii="Times New Roman" w:hAnsi="Times New Roman"/>
          <w:i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i/>
          <w:snapToGrid w:val="0"/>
          <w:szCs w:val="24"/>
          <w:lang w:eastAsia="tr-TR"/>
        </w:rPr>
        <w:t>aureus</w:t>
      </w:r>
      <w:proofErr w:type="spellEnd"/>
      <w:r w:rsidRPr="00907E58">
        <w:rPr>
          <w:rFonts w:ascii="Times New Roman" w:hAnsi="Times New Roman"/>
          <w:i/>
          <w:snapToGrid w:val="0"/>
          <w:szCs w:val="24"/>
          <w:lang w:eastAsia="tr-TR"/>
        </w:rPr>
        <w:t>)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ile bilinen enfeksiyon veya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kolonizasyon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öyküsü olan hastalarda, alternatif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profilaktik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antibiyotikler kullanılmalıdır.</w:t>
      </w:r>
    </w:p>
    <w:p w14:paraId="5DF13022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08D07A2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Özel hasta gruplarına yönelik yeterli bilgi bulunmadığından (ciddi enfeksiyon riski olan hastalar, komplikasyonlu kataraktı olan hastalar, katarakt cerrahisi ile birlikte başka operasyonlar uygulanacak olan hastalar, şiddetli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tiroid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hastalığı olanlar,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korneal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endotel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hücre sayısı 2000’den düşük olan hastalar), APROKAM yalnızca dikkatli bir risk/yarar değerlendirmesinin ardından kullanılmalıdır.</w:t>
      </w:r>
    </w:p>
    <w:p w14:paraId="40EB9A1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9832F5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kullanımı tek önlem olarak kabul edilmemeli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profilaktik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antiseptik tedavisi gibi diğer önlemler de dikkate alınmalıdır.</w:t>
      </w:r>
    </w:p>
    <w:p w14:paraId="28BCAF72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9A365C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önerilen dozlarında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korneal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endotel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toksisitesi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bildirilmemiş olmakla birlikte, bu risk göz ardı edilemez ve cerrahi sonrası gözetimde, hekimler bu riski göz önünde bulundurmalıdır.</w:t>
      </w:r>
    </w:p>
    <w:p w14:paraId="3C847A6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4159A075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Diğer tıbbi ürünler ile etkileşimler ve diğer etkileşim şekilleri</w:t>
      </w:r>
    </w:p>
    <w:p w14:paraId="521A1C8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Sistemik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maruziyetin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oldukça küçük olması beklendiğinden, sistemik etkileşimler olası değildir.</w:t>
      </w:r>
    </w:p>
    <w:p w14:paraId="4EC5F6B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B9755E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Literatürde, katarakt cerrahisinde yaygın şekilde kullanılan birçok ürünle herhangi bir geçimsizlik bildirilmemiştir.</w:t>
      </w:r>
    </w:p>
    <w:p w14:paraId="7630B2ED" w14:textId="77777777" w:rsidR="00907E58" w:rsidRDefault="00907E58" w:rsidP="00907E58">
      <w:pPr>
        <w:pStyle w:val="Style4"/>
        <w:spacing w:before="0" w:line="276" w:lineRule="auto"/>
        <w:ind w:right="-567"/>
        <w:rPr>
          <w:rFonts w:ascii="Times New Roman" w:hAnsi="Times New Roman"/>
          <w:b/>
          <w:noProof/>
          <w:szCs w:val="24"/>
          <w:lang w:eastAsia="ko-KR"/>
        </w:rPr>
      </w:pPr>
    </w:p>
    <w:p w14:paraId="34836786" w14:textId="77777777" w:rsidR="00B94551" w:rsidRPr="00907E58" w:rsidRDefault="00B94551" w:rsidP="00907E58">
      <w:pPr>
        <w:pStyle w:val="Style4"/>
        <w:spacing w:before="0" w:line="276" w:lineRule="auto"/>
        <w:ind w:right="-567"/>
        <w:rPr>
          <w:rFonts w:ascii="Times New Roman" w:hAnsi="Times New Roman"/>
          <w:b/>
          <w:noProof/>
          <w:szCs w:val="24"/>
          <w:lang w:eastAsia="ko-KR"/>
        </w:rPr>
      </w:pPr>
      <w:r w:rsidRPr="00907E58">
        <w:rPr>
          <w:rFonts w:ascii="Times New Roman" w:hAnsi="Times New Roman"/>
          <w:b/>
          <w:noProof/>
          <w:szCs w:val="24"/>
          <w:lang w:eastAsia="ko-KR"/>
        </w:rPr>
        <w:lastRenderedPageBreak/>
        <w:t>Özel popülasyonlara ilişkin ek bilgiler</w:t>
      </w:r>
    </w:p>
    <w:p w14:paraId="6EF00884" w14:textId="77777777" w:rsidR="00B94551" w:rsidRPr="00907E58" w:rsidRDefault="00B94551" w:rsidP="00907E58">
      <w:pPr>
        <w:pStyle w:val="Style4"/>
        <w:spacing w:before="0" w:line="276" w:lineRule="auto"/>
        <w:ind w:right="-567"/>
        <w:rPr>
          <w:rFonts w:ascii="Times New Roman" w:hAnsi="Times New Roman"/>
          <w:b/>
          <w:noProof/>
          <w:szCs w:val="24"/>
          <w:lang w:eastAsia="ko-KR"/>
        </w:rPr>
      </w:pPr>
      <w:r w:rsidRPr="00907E58">
        <w:rPr>
          <w:rFonts w:ascii="Times New Roman" w:hAnsi="Times New Roman"/>
          <w:b/>
          <w:noProof/>
          <w:szCs w:val="24"/>
          <w:lang w:eastAsia="ko-KR"/>
        </w:rPr>
        <w:t>Pediyatrik popülasyon</w:t>
      </w:r>
    </w:p>
    <w:p w14:paraId="098391D0" w14:textId="77777777" w:rsidR="00B94551" w:rsidRPr="00907E58" w:rsidRDefault="00B94551" w:rsidP="00907E58">
      <w:pPr>
        <w:pStyle w:val="Style4"/>
        <w:spacing w:before="0" w:line="276" w:lineRule="auto"/>
        <w:ind w:right="-567"/>
        <w:rPr>
          <w:rFonts w:ascii="Times New Roman" w:hAnsi="Times New Roman"/>
          <w:noProof/>
          <w:szCs w:val="24"/>
          <w:lang w:eastAsia="ko-KR"/>
        </w:rPr>
      </w:pPr>
      <w:r w:rsidRPr="00907E58">
        <w:rPr>
          <w:rFonts w:ascii="Times New Roman" w:hAnsi="Times New Roman"/>
          <w:noProof/>
          <w:szCs w:val="24"/>
          <w:lang w:eastAsia="ko-KR"/>
        </w:rPr>
        <w:t>Herhangi bir etkileşim çalışması yapılmamıştır.</w:t>
      </w:r>
    </w:p>
    <w:p w14:paraId="177D9495" w14:textId="77777777" w:rsidR="00B94551" w:rsidRPr="00907E58" w:rsidRDefault="00B94551" w:rsidP="00907E58">
      <w:pPr>
        <w:pStyle w:val="Style4"/>
        <w:spacing w:before="0" w:line="276" w:lineRule="auto"/>
        <w:ind w:right="-567"/>
        <w:rPr>
          <w:rFonts w:ascii="Times New Roman" w:hAnsi="Times New Roman"/>
          <w:b/>
          <w:noProof/>
          <w:szCs w:val="24"/>
          <w:lang w:eastAsia="ko-KR"/>
        </w:rPr>
      </w:pPr>
      <w:r w:rsidRPr="00907E58">
        <w:rPr>
          <w:rFonts w:ascii="Times New Roman" w:hAnsi="Times New Roman"/>
          <w:b/>
          <w:noProof/>
          <w:szCs w:val="24"/>
          <w:lang w:eastAsia="ko-KR"/>
        </w:rPr>
        <w:t>Geriyatrik popülasyon</w:t>
      </w:r>
    </w:p>
    <w:p w14:paraId="47B9DE90" w14:textId="77777777" w:rsidR="00B94551" w:rsidRPr="00907E58" w:rsidRDefault="00B94551" w:rsidP="00907E58">
      <w:pPr>
        <w:pStyle w:val="Style4"/>
        <w:spacing w:before="0" w:line="276" w:lineRule="auto"/>
        <w:ind w:right="-567"/>
        <w:rPr>
          <w:rFonts w:ascii="Times New Roman" w:hAnsi="Times New Roman"/>
          <w:noProof/>
          <w:szCs w:val="24"/>
          <w:lang w:eastAsia="ko-KR"/>
        </w:rPr>
      </w:pPr>
      <w:r w:rsidRPr="00907E58">
        <w:rPr>
          <w:rFonts w:ascii="Times New Roman" w:hAnsi="Times New Roman"/>
          <w:noProof/>
          <w:szCs w:val="24"/>
          <w:lang w:eastAsia="ko-KR"/>
        </w:rPr>
        <w:t>Herhangi bir etkileşim çalışması yapılmamıştır.</w:t>
      </w:r>
    </w:p>
    <w:p w14:paraId="17C73CF6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17A6C21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Gebelik ve </w:t>
      </w: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t>Laktasyon</w:t>
      </w:r>
      <w:proofErr w:type="spellEnd"/>
    </w:p>
    <w:p w14:paraId="3967294D" w14:textId="77777777" w:rsidR="00B94551" w:rsidRPr="00907E58" w:rsidRDefault="00B94551" w:rsidP="00907E58">
      <w:pPr>
        <w:autoSpaceDE w:val="0"/>
        <w:autoSpaceDN w:val="0"/>
        <w:adjustRightInd w:val="0"/>
        <w:spacing w:line="276" w:lineRule="auto"/>
        <w:ind w:right="-567"/>
        <w:jc w:val="both"/>
        <w:rPr>
          <w:rFonts w:ascii="Times New Roman" w:hAnsi="Times New Roman"/>
          <w:b/>
          <w:bCs/>
          <w:noProof/>
          <w:szCs w:val="24"/>
        </w:rPr>
      </w:pPr>
      <w:r w:rsidRPr="00907E58">
        <w:rPr>
          <w:rFonts w:ascii="Times New Roman" w:hAnsi="Times New Roman"/>
          <w:b/>
          <w:bCs/>
          <w:noProof/>
          <w:szCs w:val="24"/>
        </w:rPr>
        <w:t>Genel tavsiye</w:t>
      </w:r>
    </w:p>
    <w:p w14:paraId="45A8309C" w14:textId="77777777" w:rsidR="00B94551" w:rsidRPr="00907E58" w:rsidRDefault="00B94551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</w:rPr>
        <w:t>Gebelik kategorisi: B</w:t>
      </w:r>
    </w:p>
    <w:p w14:paraId="3A6C6EF3" w14:textId="77777777" w:rsidR="00907E58" w:rsidRDefault="00907E58" w:rsidP="00907E58">
      <w:pPr>
        <w:tabs>
          <w:tab w:val="left" w:pos="14520"/>
        </w:tabs>
        <w:autoSpaceDE w:val="0"/>
        <w:autoSpaceDN w:val="0"/>
        <w:adjustRightInd w:val="0"/>
        <w:spacing w:line="276" w:lineRule="auto"/>
        <w:ind w:right="-567"/>
        <w:jc w:val="both"/>
        <w:rPr>
          <w:rFonts w:ascii="Times New Roman" w:hAnsi="Times New Roman"/>
          <w:b/>
          <w:bCs/>
          <w:noProof/>
          <w:szCs w:val="24"/>
        </w:rPr>
      </w:pPr>
    </w:p>
    <w:p w14:paraId="605DAF01" w14:textId="77777777" w:rsidR="00B94551" w:rsidRPr="00907E58" w:rsidRDefault="00B94551" w:rsidP="00907E58">
      <w:pPr>
        <w:tabs>
          <w:tab w:val="left" w:pos="14520"/>
        </w:tabs>
        <w:autoSpaceDE w:val="0"/>
        <w:autoSpaceDN w:val="0"/>
        <w:adjustRightInd w:val="0"/>
        <w:spacing w:line="276" w:lineRule="auto"/>
        <w:ind w:right="-567"/>
        <w:jc w:val="both"/>
        <w:rPr>
          <w:rFonts w:ascii="Times New Roman" w:hAnsi="Times New Roman"/>
          <w:b/>
          <w:bCs/>
          <w:noProof/>
          <w:szCs w:val="24"/>
        </w:rPr>
      </w:pPr>
      <w:r w:rsidRPr="00907E58">
        <w:rPr>
          <w:rFonts w:ascii="Times New Roman" w:hAnsi="Times New Roman"/>
          <w:b/>
          <w:bCs/>
          <w:noProof/>
          <w:szCs w:val="24"/>
        </w:rPr>
        <w:t>Çocuk doğurma potansiyeli bulunan kadınlar/Doğum kontrolü (Kontrasepsiyon)</w:t>
      </w:r>
    </w:p>
    <w:p w14:paraId="36AD8229" w14:textId="63F9B2C9" w:rsidR="00B94551" w:rsidRPr="00907E58" w:rsidRDefault="00B94551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907E58">
        <w:rPr>
          <w:rFonts w:ascii="Times New Roman" w:hAnsi="Times New Roman"/>
          <w:szCs w:val="24"/>
        </w:rPr>
        <w:t>Veri yoktur.</w:t>
      </w:r>
    </w:p>
    <w:p w14:paraId="7D4CB2AA" w14:textId="77777777" w:rsidR="00B94551" w:rsidRPr="00907E58" w:rsidRDefault="00B94551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</w:p>
    <w:p w14:paraId="02B74C2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Gebelik dönemi</w:t>
      </w:r>
    </w:p>
    <w:p w14:paraId="4CF1B52F" w14:textId="4E7D9484" w:rsidR="00063416" w:rsidRPr="003C4913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Gebe kadınlarda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kullanımına ilişkin sınırlı veri mevcuttur. Hayvanlarla yapılan deneysel çalışmalar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embriyonal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fetal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gelişim üzerinde herhangi bir zararlı etki göstermemiştir.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plasenta yoluyla embriyo/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fetusa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taşınır.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APROKAM’a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sistemik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maruziyet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önemsiz düzeyde olduğundan, gebelikte herhangi bir etki beklenmemektedir. APROKAM gebe</w:t>
      </w:r>
      <w:r w:rsidR="003C4913" w:rsidRPr="003C4913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r w:rsidR="00A97962" w:rsidRPr="003C4913">
        <w:rPr>
          <w:rFonts w:ascii="Times New Roman" w:hAnsi="Times New Roman"/>
          <w:snapToGrid w:val="0"/>
          <w:szCs w:val="24"/>
          <w:lang w:eastAsia="tr-TR"/>
        </w:rPr>
        <w:t>kadınlara verilirken tedbirli olunmalıdır.</w:t>
      </w:r>
    </w:p>
    <w:p w14:paraId="6FC0A251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4C1FF0E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t>Laktasyon</w:t>
      </w:r>
      <w:proofErr w:type="spellEnd"/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 dönemi</w:t>
      </w:r>
    </w:p>
    <w:p w14:paraId="0069313A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anne sütüne çok küçük miktarlarda geçebilir. APROKAM kullanımından sonra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terapötik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dozlarda istenmeyen etkiler beklenmemektedir. APROKAM emzirme sırasında kullanılabilir. </w:t>
      </w:r>
    </w:p>
    <w:p w14:paraId="5E921BB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63F1F2B" w14:textId="77777777" w:rsidR="00063416" w:rsidRPr="00907E58" w:rsidRDefault="00063416" w:rsidP="00907E58">
      <w:pPr>
        <w:pStyle w:val="CM3"/>
        <w:spacing w:line="276" w:lineRule="auto"/>
        <w:jc w:val="both"/>
        <w:rPr>
          <w:rFonts w:ascii="Times New Roman" w:hAnsi="Times New Roman" w:cs="Times New Roman"/>
          <w:b/>
        </w:rPr>
      </w:pPr>
      <w:r w:rsidRPr="00907E58">
        <w:rPr>
          <w:rFonts w:ascii="Times New Roman" w:hAnsi="Times New Roman" w:cs="Times New Roman"/>
          <w:b/>
          <w:bCs/>
        </w:rPr>
        <w:t>Üreme yetene</w:t>
      </w:r>
      <w:r w:rsidRPr="00907E58">
        <w:rPr>
          <w:rFonts w:ascii="Times New Roman" w:hAnsi="Times New Roman" w:cs="Times New Roman"/>
          <w:b/>
        </w:rPr>
        <w:t>ğ</w:t>
      </w:r>
      <w:r w:rsidRPr="00907E58">
        <w:rPr>
          <w:rFonts w:ascii="Times New Roman" w:hAnsi="Times New Roman" w:cs="Times New Roman"/>
          <w:b/>
          <w:bCs/>
        </w:rPr>
        <w:t xml:space="preserve">i / </w:t>
      </w:r>
      <w:proofErr w:type="spellStart"/>
      <w:r w:rsidRPr="00907E58">
        <w:rPr>
          <w:rFonts w:ascii="Times New Roman" w:hAnsi="Times New Roman" w:cs="Times New Roman"/>
          <w:b/>
          <w:bCs/>
        </w:rPr>
        <w:t>Fertilite</w:t>
      </w:r>
      <w:proofErr w:type="spellEnd"/>
      <w:r w:rsidRPr="00907E58">
        <w:rPr>
          <w:rFonts w:ascii="Times New Roman" w:hAnsi="Times New Roman" w:cs="Times New Roman"/>
          <w:b/>
          <w:bCs/>
        </w:rPr>
        <w:t xml:space="preserve"> </w:t>
      </w:r>
    </w:p>
    <w:p w14:paraId="5E9B7FFF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sodyumun insanlarda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fertilite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üzerindeki etkilerine ilişkin herhangi bir veri yoktur. Hayvanlar üzerinde gerçekleştirilen üreme çalışmaları,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fertilite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üzerinde herhangi bir etki göstermemiştir.</w:t>
      </w:r>
    </w:p>
    <w:p w14:paraId="0E8A4F81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B18B09F" w14:textId="04E47008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Araç ve makin</w:t>
      </w:r>
      <w:r w:rsidR="00A97962">
        <w:rPr>
          <w:rFonts w:ascii="Times New Roman" w:hAnsi="Times New Roman"/>
          <w:b/>
          <w:snapToGrid w:val="0"/>
          <w:szCs w:val="24"/>
          <w:lang w:eastAsia="tr-TR"/>
        </w:rPr>
        <w:t>a</w:t>
      </w:r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 kullanımı üzerindeki etkiler</w:t>
      </w:r>
    </w:p>
    <w:p w14:paraId="0E22B8E5" w14:textId="52C8A018" w:rsidR="00063416" w:rsidRPr="000A602C" w:rsidRDefault="00A97962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0A602C">
        <w:rPr>
          <w:rFonts w:ascii="Times New Roman" w:hAnsi="Times New Roman"/>
          <w:snapToGrid w:val="0"/>
          <w:szCs w:val="24"/>
          <w:lang w:eastAsia="tr-TR"/>
        </w:rPr>
        <w:t>Geçici görme bulanıklığı veya diğer görsel rahatsızlıklar araç ve makina kullanımını etkileyebilir. Uygulamadan sonra görmede bulanıklık meydana gelmesi durumunda, araç ve makina kullanılmadan önce bulanıklık geçinceye kadar beklenmelidir.</w:t>
      </w:r>
    </w:p>
    <w:p w14:paraId="651BEF2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BB35DD9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İstenmeyen etkiler</w:t>
      </w:r>
    </w:p>
    <w:p w14:paraId="27B08506" w14:textId="0B603F88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Literatürde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</w:t>
      </w:r>
      <w:r w:rsidR="00B94551" w:rsidRPr="00907E58">
        <w:rPr>
          <w:rFonts w:ascii="Times New Roman" w:hAnsi="Times New Roman"/>
          <w:snapToGrid w:val="0"/>
          <w:szCs w:val="24"/>
          <w:lang w:eastAsia="tr-TR"/>
        </w:rPr>
        <w:t>kameral</w:t>
      </w:r>
      <w:proofErr w:type="spellEnd"/>
      <w:r w:rsidR="00B94551" w:rsidRPr="00907E58">
        <w:rPr>
          <w:rFonts w:ascii="Times New Roman" w:hAnsi="Times New Roman"/>
          <w:snapToGrid w:val="0"/>
          <w:szCs w:val="24"/>
          <w:lang w:eastAsia="tr-TR"/>
        </w:rPr>
        <w:t xml:space="preserve"> (göz içi)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enjeksiyon yoluyla uygulanmasından sonra, aşağıdakiler yan etki</w:t>
      </w:r>
      <w:r w:rsidR="004C3FBF" w:rsidRPr="00907E58">
        <w:rPr>
          <w:rFonts w:ascii="Times New Roman" w:hAnsi="Times New Roman"/>
          <w:snapToGrid w:val="0"/>
          <w:szCs w:val="24"/>
          <w:lang w:eastAsia="tr-TR"/>
        </w:rPr>
        <w:t>ler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bildirilmiştir.</w:t>
      </w:r>
    </w:p>
    <w:p w14:paraId="39EC0F72" w14:textId="77777777" w:rsidR="00063416" w:rsidRPr="00907E58" w:rsidRDefault="00063416" w:rsidP="00907E58">
      <w:pPr>
        <w:pStyle w:val="CM10"/>
        <w:spacing w:line="276" w:lineRule="auto"/>
        <w:jc w:val="both"/>
        <w:rPr>
          <w:rFonts w:ascii="Times New Roman" w:hAnsi="Times New Roman" w:cs="Times New Roman"/>
        </w:rPr>
      </w:pPr>
    </w:p>
    <w:p w14:paraId="4A2EAA1D" w14:textId="77777777" w:rsidR="004C3FBF" w:rsidRPr="00907E58" w:rsidRDefault="004C3FBF" w:rsidP="00907E58">
      <w:pPr>
        <w:autoSpaceDE w:val="0"/>
        <w:autoSpaceDN w:val="0"/>
        <w:adjustRightInd w:val="0"/>
        <w:spacing w:line="276" w:lineRule="auto"/>
        <w:ind w:right="-567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</w:rPr>
        <w:t xml:space="preserve">İstenmeyen etkiler aşağıdaki sıklık derecelerine göre sıralanmıştır: </w:t>
      </w:r>
    </w:p>
    <w:p w14:paraId="046D89C0" w14:textId="6CE924E9" w:rsidR="004C3FBF" w:rsidRPr="00907E58" w:rsidRDefault="004C3FBF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</w:rPr>
        <w:t> Çok yaygın (</w:t>
      </w:r>
      <w:r w:rsidRPr="00907E58">
        <w:rPr>
          <w:rFonts w:ascii="Times New Roman" w:hAnsi="Times New Roman"/>
          <w:noProof/>
          <w:szCs w:val="24"/>
        </w:rPr>
        <w:sym w:font="Symbol" w:char="F0B3"/>
      </w:r>
      <w:r w:rsidRPr="00907E58">
        <w:rPr>
          <w:rFonts w:ascii="Times New Roman" w:hAnsi="Times New Roman"/>
          <w:noProof/>
          <w:szCs w:val="24"/>
        </w:rPr>
        <w:t>1/10); yaygın (</w:t>
      </w:r>
      <w:r w:rsidRPr="00907E58">
        <w:rPr>
          <w:rFonts w:ascii="Times New Roman" w:hAnsi="Times New Roman"/>
          <w:noProof/>
          <w:szCs w:val="24"/>
        </w:rPr>
        <w:sym w:font="Symbol" w:char="F0B3"/>
      </w:r>
      <w:r w:rsidRPr="00907E58">
        <w:rPr>
          <w:rFonts w:ascii="Times New Roman" w:hAnsi="Times New Roman"/>
          <w:noProof/>
          <w:szCs w:val="24"/>
        </w:rPr>
        <w:t>1/100 ila &lt;1/10); yaygın olmayan (</w:t>
      </w:r>
      <w:r w:rsidRPr="00907E58">
        <w:rPr>
          <w:rFonts w:ascii="Times New Roman" w:hAnsi="Times New Roman"/>
          <w:noProof/>
          <w:szCs w:val="24"/>
        </w:rPr>
        <w:sym w:font="Symbol" w:char="F0B3"/>
      </w:r>
      <w:r w:rsidRPr="00907E58">
        <w:rPr>
          <w:rFonts w:ascii="Times New Roman" w:hAnsi="Times New Roman"/>
          <w:noProof/>
          <w:szCs w:val="24"/>
        </w:rPr>
        <w:t>1/1.000 ila &lt;1/100); seyrek (</w:t>
      </w:r>
      <w:r w:rsidRPr="00907E58">
        <w:rPr>
          <w:rFonts w:ascii="Times New Roman" w:hAnsi="Times New Roman"/>
          <w:noProof/>
          <w:szCs w:val="24"/>
        </w:rPr>
        <w:sym w:font="Symbol" w:char="F0B3"/>
      </w:r>
      <w:r w:rsidRPr="00907E58">
        <w:rPr>
          <w:rFonts w:ascii="Times New Roman" w:hAnsi="Times New Roman"/>
          <w:noProof/>
          <w:szCs w:val="24"/>
        </w:rPr>
        <w:t>1/10.000 ila &lt;1/1.000); çok seyrek (&lt;1/10.000), bilinmiyor (eldeki verilerden hareketle tahmin edilemiyor).</w:t>
      </w:r>
    </w:p>
    <w:p w14:paraId="62F1E47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4D58C0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lastRenderedPageBreak/>
        <w:t>İmmün</w:t>
      </w:r>
      <w:proofErr w:type="spellEnd"/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 sistem bozuklukları</w:t>
      </w:r>
    </w:p>
    <w:p w14:paraId="5C99FE9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Çok seyrek: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Anafilaktik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reaksiyon.</w:t>
      </w:r>
    </w:p>
    <w:p w14:paraId="1AC7CE4E" w14:textId="77777777" w:rsidR="00063416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8D2AAE0" w14:textId="77777777" w:rsidR="004D7845" w:rsidRDefault="004D7845" w:rsidP="004D7845">
      <w:pPr>
        <w:spacing w:line="276" w:lineRule="auto"/>
        <w:jc w:val="both"/>
        <w:rPr>
          <w:u w:val="single"/>
        </w:rPr>
      </w:pPr>
      <w:r w:rsidRPr="008C0B45">
        <w:rPr>
          <w:u w:val="single"/>
        </w:rPr>
        <w:t xml:space="preserve">Şüpheli </w:t>
      </w:r>
      <w:proofErr w:type="spellStart"/>
      <w:r w:rsidRPr="008C0B45">
        <w:rPr>
          <w:u w:val="single"/>
        </w:rPr>
        <w:t>advers</w:t>
      </w:r>
      <w:proofErr w:type="spellEnd"/>
      <w:r w:rsidRPr="008C0B45">
        <w:rPr>
          <w:u w:val="single"/>
        </w:rPr>
        <w:t xml:space="preserve"> reaksiyonların raporlanması</w:t>
      </w:r>
    </w:p>
    <w:p w14:paraId="64F2062D" w14:textId="77777777" w:rsidR="004D7845" w:rsidRPr="00EA14D5" w:rsidRDefault="004D7845" w:rsidP="004D7845">
      <w:pPr>
        <w:spacing w:line="276" w:lineRule="auto"/>
        <w:jc w:val="both"/>
      </w:pPr>
      <w:r w:rsidRPr="008C0B45">
        <w:t>Ru</w:t>
      </w:r>
      <w:r>
        <w:t xml:space="preserve">hsatlandırma sonrası şüpheli ilaç </w:t>
      </w:r>
      <w:proofErr w:type="spellStart"/>
      <w:r>
        <w:t>advers</w:t>
      </w:r>
      <w:proofErr w:type="spellEnd"/>
      <w:r>
        <w:t xml:space="preserve"> reaksiyonlarının raporlanması büyük önem taşımaktadır. Raporlama yapılması, ilacın yarar / risk dengesinin sürekli olarak izlenmesine olanak sağlar. Sağlık mesleği mensuplarının herhangi bir </w:t>
      </w:r>
      <w:r w:rsidRPr="00EA14D5">
        <w:t xml:space="preserve">şüpheli  </w:t>
      </w:r>
      <w:proofErr w:type="spellStart"/>
      <w:r w:rsidRPr="00EA14D5">
        <w:t>advers</w:t>
      </w:r>
      <w:proofErr w:type="spellEnd"/>
      <w:r w:rsidRPr="00EA14D5">
        <w:t xml:space="preserve"> reaksiyonu Türkiye </w:t>
      </w:r>
      <w:proofErr w:type="spellStart"/>
      <w:r w:rsidRPr="00EA14D5">
        <w:t>Farmakovijilans</w:t>
      </w:r>
      <w:proofErr w:type="spellEnd"/>
      <w:r w:rsidRPr="00EA14D5">
        <w:t xml:space="preserve"> Merkezi (TÜFAM)’ne bildirmeleri gerekmektedir. (</w:t>
      </w:r>
      <w:hyperlink r:id="rId9" w:history="1">
        <w:r w:rsidRPr="00EA14D5">
          <w:rPr>
            <w:rStyle w:val="Hyperlink"/>
            <w:color w:val="auto"/>
          </w:rPr>
          <w:t>www.titck.gov.tr</w:t>
        </w:r>
      </w:hyperlink>
      <w:r w:rsidRPr="00EA14D5">
        <w:t xml:space="preserve">; e- posta: </w:t>
      </w:r>
      <w:hyperlink r:id="rId10" w:history="1">
        <w:r w:rsidRPr="00EA14D5">
          <w:rPr>
            <w:rStyle w:val="Hyperlink"/>
            <w:color w:val="auto"/>
          </w:rPr>
          <w:t>tufam@titck.gov.tr</w:t>
        </w:r>
      </w:hyperlink>
      <w:r w:rsidRPr="00EA14D5">
        <w:t>; tel: 0 800 314 00 08; faks: 0 312 218 35 99)</w:t>
      </w:r>
    </w:p>
    <w:p w14:paraId="302F1202" w14:textId="77777777" w:rsidR="004D7845" w:rsidRPr="00907E58" w:rsidRDefault="004D7845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E4240B4" w14:textId="2DF728A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Doz aşımı </w:t>
      </w:r>
      <w:r w:rsidR="004C3FBF" w:rsidRPr="00907E58">
        <w:rPr>
          <w:rFonts w:ascii="Times New Roman" w:hAnsi="Times New Roman"/>
          <w:b/>
          <w:snapToGrid w:val="0"/>
          <w:szCs w:val="24"/>
          <w:lang w:eastAsia="tr-TR"/>
        </w:rPr>
        <w:t>ve tedavisi</w:t>
      </w:r>
    </w:p>
    <w:p w14:paraId="30008F4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Bildirilen doz aşımı vakaları hatalı seyreltme ve sistemik uygulamaya yönelik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onaylı olmayan kullanımı sonrasında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literatürde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bildirilen vakalardır.</w:t>
      </w:r>
    </w:p>
    <w:p w14:paraId="20856F10" w14:textId="11E89D55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Evde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seyreltme protokolüne bağlı olarak hatalı seyreltmeyi takiben 6 hastada istenmeyen yüksek doz (önerilen dozun 3 katı)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</w:t>
      </w:r>
      <w:r w:rsidR="00A97962" w:rsidRPr="004A28C7">
        <w:rPr>
          <w:rFonts w:ascii="Times New Roman" w:hAnsi="Times New Roman"/>
          <w:snapToGrid w:val="0"/>
          <w:szCs w:val="24"/>
          <w:lang w:eastAsia="tr-TR"/>
        </w:rPr>
        <w:t>f</w:t>
      </w:r>
      <w:r w:rsidRPr="00907E58">
        <w:rPr>
          <w:rFonts w:ascii="Times New Roman" w:hAnsi="Times New Roman"/>
          <w:snapToGrid w:val="0"/>
          <w:szCs w:val="24"/>
          <w:lang w:eastAsia="tr-TR"/>
        </w:rPr>
        <w:t>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kullanımı bildirilmiştir. Bu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enjeksiyonlar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>, hastaların hiçbirinde oküler dokuda dahi tespit edilebilir herhangi bir istenmeyen etkiye neden olmamıştır.</w:t>
      </w:r>
    </w:p>
    <w:p w14:paraId="3A026B3D" w14:textId="28A2A50D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Katarakt cerrahisi sırasında bir seyreltme hatasından sonra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önerilen dozunun 40 ila 50 katı yüksek dozlar uygulanan 6 hastadan alınan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toksisite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verileri mevcuttur. Başlangıç ortalama görme keskinliği 20/</w:t>
      </w:r>
      <w:r w:rsidRPr="004A28C7">
        <w:rPr>
          <w:rFonts w:ascii="Times New Roman" w:hAnsi="Times New Roman"/>
          <w:snapToGrid w:val="0"/>
          <w:szCs w:val="24"/>
          <w:lang w:eastAsia="tr-TR"/>
        </w:rPr>
        <w:t>200</w:t>
      </w:r>
      <w:r w:rsidR="00A97962" w:rsidRPr="004A28C7">
        <w:rPr>
          <w:rFonts w:ascii="Times New Roman" w:hAnsi="Times New Roman"/>
          <w:snapToGrid w:val="0"/>
          <w:szCs w:val="24"/>
          <w:lang w:eastAsia="tr-TR"/>
        </w:rPr>
        <w:t>’dür.</w:t>
      </w:r>
      <w:r w:rsidRPr="00A97962">
        <w:rPr>
          <w:rFonts w:ascii="Times New Roman" w:hAnsi="Times New Roman"/>
          <w:snapToGrid w:val="0"/>
          <w:color w:val="00B050"/>
          <w:szCs w:val="24"/>
          <w:lang w:eastAsia="tr-TR"/>
        </w:rPr>
        <w:t xml:space="preserve"> 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Şiddetli ön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segment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enflamasyonu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mevcuttu</w:t>
      </w:r>
      <w:r w:rsidR="00A97962" w:rsidRPr="004A28C7">
        <w:rPr>
          <w:rFonts w:ascii="Times New Roman" w:hAnsi="Times New Roman"/>
          <w:snapToGrid w:val="0"/>
          <w:szCs w:val="24"/>
          <w:lang w:eastAsia="tr-TR"/>
        </w:rPr>
        <w:t>r</w:t>
      </w:r>
      <w:r w:rsidRPr="004A28C7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retinal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optik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koherans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tomografisi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yaygın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maküler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ödem göstermiştir. Cerrahiden altı hafta sonra, ortalama görme keskinliği 20/25’e ulaşmıştır.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Maküler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optik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koherans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tomografi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profili de normale dönmüştür. Bununla birlikte tüm hastalarda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skotopik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elektroretinografide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%30 azalma gözlenmiştir.</w:t>
      </w:r>
    </w:p>
    <w:p w14:paraId="09D8E65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10A6A81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Hatalı şekilde seyreltilen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(her göze 10-100 mg) 16 hastaya uygulanması, birkaç haftada iyileşen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korneal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ödem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dahil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oküler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toksisiteye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, geçici yüksek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intraoküler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basınca,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korneal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endotel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hücre kaybına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elektroretinografide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değişikliklere neden olmuştur. Bu hastaların bir bölümünde kalıcı ve ciddi görme kaybı meydana gelmiştir.</w:t>
      </w:r>
    </w:p>
    <w:p w14:paraId="67A4C63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3754B5F2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FARMAKOLOJİK ÖZELLİKLER</w:t>
      </w:r>
    </w:p>
    <w:p w14:paraId="47D4E4D2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4D5B394F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Farmakodinamik özellikler</w:t>
      </w:r>
    </w:p>
    <w:p w14:paraId="1EA31D11" w14:textId="4F35EBD4" w:rsidR="00FF28D1" w:rsidRPr="00FC5FF7" w:rsidRDefault="00063416" w:rsidP="00FF28D1">
      <w:pPr>
        <w:rPr>
          <w:szCs w:val="24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Farmakoterapötik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grup: </w:t>
      </w:r>
      <w:r w:rsidR="00FF28D1" w:rsidRPr="00915BF3">
        <w:rPr>
          <w:szCs w:val="24"/>
        </w:rPr>
        <w:t xml:space="preserve">Duyu Organları – Oftalmolojikler- </w:t>
      </w:r>
      <w:proofErr w:type="spellStart"/>
      <w:r w:rsidR="00FF28D1" w:rsidRPr="00915BF3">
        <w:rPr>
          <w:szCs w:val="24"/>
        </w:rPr>
        <w:t>Antienfektifler</w:t>
      </w:r>
      <w:proofErr w:type="spellEnd"/>
      <w:r w:rsidR="00FF28D1" w:rsidRPr="00915BF3">
        <w:rPr>
          <w:szCs w:val="24"/>
        </w:rPr>
        <w:t>- Anti</w:t>
      </w:r>
      <w:r w:rsidR="00FF28D1" w:rsidRPr="00FC5FF7">
        <w:rPr>
          <w:szCs w:val="24"/>
        </w:rPr>
        <w:t xml:space="preserve">biyotikler </w:t>
      </w:r>
    </w:p>
    <w:p w14:paraId="018D151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ATC kodu: S01AA27</w:t>
      </w:r>
    </w:p>
    <w:p w14:paraId="1C6F659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899B902" w14:textId="7DDF5579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Etki mekanizması</w:t>
      </w:r>
    </w:p>
    <w:p w14:paraId="1BA19F9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>, penisilin bağlayan proteinlere (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PBP’ler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) bağlandıktan sonra bakteriyel hücre duvarı sentezini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inhibe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eder. Bu etki hücre duvarı (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peptidoglikan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)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biyosentezinin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bozulmasına ve bunun sonucunda bakteriyel hücre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lizisi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ve ölümüne neden olmaktadır.</w:t>
      </w:r>
    </w:p>
    <w:p w14:paraId="2274F2A6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B8D8F03" w14:textId="7BDEF5BE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FD/FK (farmakodinamik/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farmakokinetik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>) ilişkisi</w:t>
      </w:r>
    </w:p>
    <w:p w14:paraId="214419C3" w14:textId="537A7C4A" w:rsidR="00063416" w:rsidRPr="00915BF3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Sefalosporinler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için, </w:t>
      </w:r>
      <w:r w:rsidRPr="00907E58">
        <w:rPr>
          <w:rFonts w:ascii="Times New Roman" w:hAnsi="Times New Roman"/>
          <w:i/>
          <w:snapToGrid w:val="0"/>
          <w:szCs w:val="24"/>
          <w:lang w:eastAsia="tr-TR"/>
        </w:rPr>
        <w:t xml:space="preserve">in </w:t>
      </w:r>
      <w:proofErr w:type="spellStart"/>
      <w:r w:rsidRPr="00907E58">
        <w:rPr>
          <w:rFonts w:ascii="Times New Roman" w:hAnsi="Times New Roman"/>
          <w:i/>
          <w:snapToGrid w:val="0"/>
          <w:szCs w:val="24"/>
          <w:lang w:eastAsia="tr-TR"/>
        </w:rPr>
        <w:t>vivo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etkililik ile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korelasyon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gösteren en önemli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farmakokinetik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-farmakodinamik indeksin, bağlanmayan konsantrasyonun özel hedef türler için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r w:rsidRPr="00907E58">
        <w:rPr>
          <w:rFonts w:ascii="Times New Roman" w:hAnsi="Times New Roman"/>
          <w:snapToGrid w:val="0"/>
          <w:szCs w:val="24"/>
          <w:lang w:eastAsia="tr-TR"/>
        </w:rPr>
        <w:lastRenderedPageBreak/>
        <w:t>minimum inhibitör konsantrasyon</w:t>
      </w:r>
      <w:r w:rsidRPr="00915BF3">
        <w:rPr>
          <w:rFonts w:ascii="Times New Roman" w:hAnsi="Times New Roman"/>
          <w:snapToGrid w:val="0"/>
          <w:szCs w:val="24"/>
          <w:lang w:eastAsia="tr-TR"/>
        </w:rPr>
        <w:t>unun (</w:t>
      </w:r>
      <w:r w:rsidR="00040B0E" w:rsidRPr="00915BF3">
        <w:rPr>
          <w:rFonts w:ascii="Times New Roman" w:hAnsi="Times New Roman"/>
          <w:snapToGrid w:val="0"/>
          <w:szCs w:val="24"/>
          <w:lang w:eastAsia="tr-TR"/>
        </w:rPr>
        <w:t>MİK</w:t>
      </w:r>
      <w:r w:rsidRPr="00915BF3">
        <w:rPr>
          <w:rFonts w:ascii="Times New Roman" w:hAnsi="Times New Roman"/>
          <w:snapToGrid w:val="0"/>
          <w:szCs w:val="24"/>
          <w:lang w:eastAsia="tr-TR"/>
        </w:rPr>
        <w:t>) üzerinde kalması (%T&gt;</w:t>
      </w:r>
      <w:r w:rsidR="00040B0E" w:rsidRPr="00915BF3">
        <w:rPr>
          <w:rFonts w:ascii="Times New Roman" w:hAnsi="Times New Roman"/>
          <w:snapToGrid w:val="0"/>
          <w:szCs w:val="24"/>
          <w:lang w:eastAsia="tr-TR"/>
        </w:rPr>
        <w:t>MİK</w:t>
      </w:r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) şeklinde tanımlanan </w:t>
      </w:r>
      <w:proofErr w:type="spellStart"/>
      <w:r w:rsidRPr="00915BF3">
        <w:rPr>
          <w:rFonts w:ascii="Times New Roman" w:hAnsi="Times New Roman"/>
          <w:snapToGrid w:val="0"/>
          <w:szCs w:val="24"/>
          <w:lang w:eastAsia="tr-TR"/>
        </w:rPr>
        <w:t>dozlam</w:t>
      </w:r>
      <w:proofErr w:type="spellEnd"/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 aralığı yüzdesi olduğu (%T) gösterilmiştir.</w:t>
      </w:r>
    </w:p>
    <w:p w14:paraId="4C9CFF25" w14:textId="1CFF12E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1 mg </w:t>
      </w:r>
      <w:proofErr w:type="spellStart"/>
      <w:r w:rsidRPr="00915BF3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15BF3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gramStart"/>
      <w:r w:rsidRPr="00915BF3">
        <w:rPr>
          <w:rFonts w:ascii="Times New Roman" w:hAnsi="Times New Roman"/>
          <w:snapToGrid w:val="0"/>
          <w:szCs w:val="24"/>
          <w:lang w:eastAsia="tr-TR"/>
        </w:rPr>
        <w:t>enjeksiyonunu</w:t>
      </w:r>
      <w:proofErr w:type="gramEnd"/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 takiben, göz sıvısındaki </w:t>
      </w:r>
      <w:proofErr w:type="spellStart"/>
      <w:r w:rsidRPr="00915BF3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 düzeyleri cerrahiden sonra 4-5 saat süreyle çeşitli önemli türler için </w:t>
      </w:r>
      <w:r w:rsidR="00040B0E" w:rsidRPr="00915BF3">
        <w:rPr>
          <w:rFonts w:ascii="Times New Roman" w:hAnsi="Times New Roman"/>
          <w:snapToGrid w:val="0"/>
          <w:szCs w:val="24"/>
          <w:lang w:eastAsia="tr-TR"/>
        </w:rPr>
        <w:t>MİK</w:t>
      </w:r>
      <w:r w:rsidRPr="00915BF3">
        <w:rPr>
          <w:rFonts w:ascii="Times New Roman" w:hAnsi="Times New Roman"/>
          <w:snapToGrid w:val="0"/>
          <w:szCs w:val="24"/>
          <w:lang w:eastAsia="tr-TR"/>
        </w:rPr>
        <w:t xml:space="preserve"> düzeyi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nin üzerinde </w:t>
      </w:r>
      <w:r w:rsidR="00A97962" w:rsidRPr="004A28C7">
        <w:rPr>
          <w:rFonts w:ascii="Times New Roman" w:hAnsi="Times New Roman"/>
          <w:snapToGrid w:val="0"/>
          <w:szCs w:val="24"/>
          <w:lang w:eastAsia="tr-TR"/>
        </w:rPr>
        <w:t>çıkmıştır.</w:t>
      </w:r>
    </w:p>
    <w:p w14:paraId="66BF0117" w14:textId="77777777" w:rsidR="00A97962" w:rsidRPr="00907E58" w:rsidRDefault="00A97962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B419FD3" w14:textId="2B626F0B" w:rsidR="00063416" w:rsidRPr="00907E58" w:rsidRDefault="004C3FBF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Direnç</w:t>
      </w:r>
    </w:p>
    <w:p w14:paraId="73D6DF45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bakteriyel direnç aşağıdaki mekanizmaların bir veya daha fazlasına bağlı olabilir:</w:t>
      </w:r>
    </w:p>
    <w:p w14:paraId="15403FD2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CDD288A" w14:textId="5DF68343" w:rsidR="00063416" w:rsidRPr="00907E58" w:rsidRDefault="00A97962" w:rsidP="00907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4A28C7">
        <w:rPr>
          <w:rFonts w:ascii="Times New Roman" w:hAnsi="Times New Roman"/>
          <w:snapToGrid w:val="0"/>
          <w:szCs w:val="24"/>
          <w:lang w:eastAsia="tr-TR"/>
        </w:rPr>
        <w:t>B</w:t>
      </w:r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eta-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laktamazların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hidrolizi. 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belirli geniş spektrumlu bata-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laktamazlar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(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ESBL’ler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) ve belirli aerobik gram negatif bakteri türlerinde indüklenebilen veya </w:t>
      </w:r>
      <w:proofErr w:type="gram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stabil</w:t>
      </w:r>
      <w:proofErr w:type="gram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şekilde baskılanabilen 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kromozomal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-kodlu (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AmpC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) enzim tarafından etkin şekilde hidrolize edilebilir.</w:t>
      </w:r>
    </w:p>
    <w:p w14:paraId="7A262326" w14:textId="77777777" w:rsidR="00063416" w:rsidRPr="00907E58" w:rsidRDefault="00063416" w:rsidP="00907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Penisilin bağlayan proteinlerin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yönelik azalan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afinitesi</w:t>
      </w:r>
      <w:proofErr w:type="spellEnd"/>
    </w:p>
    <w:p w14:paraId="645F9FA5" w14:textId="77777777" w:rsidR="00063416" w:rsidRPr="00907E58" w:rsidRDefault="00063416" w:rsidP="00907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gram negatif bakterilerdeki penisilin bağlayan proteinlere erişimini sınırlandıran dış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membran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permeabilitesi</w:t>
      </w:r>
      <w:proofErr w:type="spellEnd"/>
    </w:p>
    <w:p w14:paraId="191EEE86" w14:textId="77777777" w:rsidR="00063416" w:rsidRPr="00907E58" w:rsidRDefault="00063416" w:rsidP="00907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Bakteriyel ilaç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dışakım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pompaları</w:t>
      </w:r>
    </w:p>
    <w:p w14:paraId="52B13D0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47F382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Metisiline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dirençli stafilokoklar (MRS)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dahil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olmak üzere halihazırda piyasada bulunan tüm β-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laktam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antibiyotiklerine dirençlidir.</w:t>
      </w:r>
    </w:p>
    <w:p w14:paraId="4F99ADE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5B1FF7D" w14:textId="65506F3B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Penisiline dirençli </w:t>
      </w:r>
      <w:proofErr w:type="spellStart"/>
      <w:r w:rsidRPr="00907E58">
        <w:rPr>
          <w:rFonts w:ascii="Times New Roman" w:hAnsi="Times New Roman"/>
          <w:i/>
          <w:snapToGrid w:val="0"/>
          <w:szCs w:val="24"/>
          <w:lang w:eastAsia="tr-TR"/>
        </w:rPr>
        <w:t>Streptococcus</w:t>
      </w:r>
      <w:proofErr w:type="spellEnd"/>
      <w:r w:rsidRPr="00907E58">
        <w:rPr>
          <w:rFonts w:ascii="Times New Roman" w:hAnsi="Times New Roman"/>
          <w:i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i/>
          <w:snapToGrid w:val="0"/>
          <w:szCs w:val="24"/>
          <w:lang w:eastAsia="tr-TR"/>
        </w:rPr>
        <w:t>pneumoniae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, penisilin bağlayan proteinlerin </w:t>
      </w:r>
      <w:r w:rsidR="00CD647C" w:rsidRPr="00915BF3">
        <w:rPr>
          <w:rFonts w:ascii="Times New Roman" w:hAnsi="Times New Roman"/>
          <w:snapToGrid w:val="0"/>
          <w:szCs w:val="24"/>
          <w:lang w:eastAsia="tr-TR"/>
        </w:rPr>
        <w:t xml:space="preserve">değişimi 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yoluyla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gibi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sefalosporinlere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karşı çapraz dirençlidir.</w:t>
      </w:r>
    </w:p>
    <w:p w14:paraId="28A3469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AD6C839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i/>
          <w:snapToGrid w:val="0"/>
          <w:szCs w:val="24"/>
          <w:lang w:eastAsia="tr-TR"/>
        </w:rPr>
        <w:t xml:space="preserve">H. </w:t>
      </w:r>
      <w:proofErr w:type="spellStart"/>
      <w:r w:rsidRPr="00907E58">
        <w:rPr>
          <w:rFonts w:ascii="Times New Roman" w:hAnsi="Times New Roman"/>
          <w:i/>
          <w:snapToGrid w:val="0"/>
          <w:szCs w:val="24"/>
          <w:lang w:eastAsia="tr-TR"/>
        </w:rPr>
        <w:t>influenzae</w:t>
      </w:r>
      <w:r w:rsidRPr="00907E58">
        <w:rPr>
          <w:rFonts w:ascii="Times New Roman" w:hAnsi="Times New Roman"/>
          <w:snapToGrid w:val="0"/>
          <w:szCs w:val="24"/>
          <w:lang w:eastAsia="tr-TR"/>
        </w:rPr>
        <w:t>’nın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beta-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laktamaz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negatif,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ampisiline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dirençli (BLNAR)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suşları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, belirgin in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vitro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duyarlılığa rağmen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dirençli kabul edilmelidir.</w:t>
      </w:r>
    </w:p>
    <w:p w14:paraId="3CCBF83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napToGrid w:val="0"/>
          <w:szCs w:val="24"/>
          <w:u w:val="single"/>
          <w:lang w:eastAsia="tr-TR"/>
        </w:rPr>
      </w:pPr>
    </w:p>
    <w:p w14:paraId="77FF2B93" w14:textId="01004972" w:rsidR="00063416" w:rsidRPr="00907E58" w:rsidRDefault="004C3FBF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Sınır değerler</w:t>
      </w:r>
    </w:p>
    <w:p w14:paraId="5991F389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Burada sunulan mikro-organizma listesi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endikasyonda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hedeflenmektedir (bkz. bölüm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4.1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). APROKAM yalnızca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uygulamaya yöneliktir ve sistemik enfeksiyonların tedavisinde kullanılmamalıdır (bkz. bölüm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5.2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); klinik kırılma noktaları bu uygulama yolu için geçerli değildir. Yabanıl tip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popülasyonun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edinilmiş dirençli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izolatlardan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ayırt edilmesi için epidemiyolojik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cut-off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değerleri (ECOFF) aşağıdaki gibidir:</w:t>
      </w:r>
    </w:p>
    <w:p w14:paraId="4F38A3BD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410"/>
      </w:tblGrid>
      <w:tr w:rsidR="00063416" w:rsidRPr="00907E58" w14:paraId="18360978" w14:textId="77777777" w:rsidTr="0065132D">
        <w:tc>
          <w:tcPr>
            <w:tcW w:w="3294" w:type="dxa"/>
          </w:tcPr>
          <w:p w14:paraId="4AEE62C0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napToGrid w:val="0"/>
                <w:szCs w:val="24"/>
                <w:lang w:eastAsia="tr-TR"/>
              </w:rPr>
            </w:pPr>
          </w:p>
        </w:tc>
        <w:tc>
          <w:tcPr>
            <w:tcW w:w="2410" w:type="dxa"/>
          </w:tcPr>
          <w:p w14:paraId="364F3877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snapToGrid w:val="0"/>
                <w:szCs w:val="24"/>
                <w:lang w:eastAsia="tr-TR"/>
              </w:rPr>
              <w:t>ECOFF (mg/L)</w:t>
            </w:r>
          </w:p>
        </w:tc>
      </w:tr>
      <w:tr w:rsidR="00063416" w:rsidRPr="00907E58" w14:paraId="1A217585" w14:textId="77777777" w:rsidTr="0065132D">
        <w:tc>
          <w:tcPr>
            <w:tcW w:w="3294" w:type="dxa"/>
          </w:tcPr>
          <w:p w14:paraId="6C160B12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</w:pP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Staphylococcus</w:t>
            </w:r>
            <w:proofErr w:type="spellEnd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 xml:space="preserve"> </w:t>
            </w: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aureus</w:t>
            </w:r>
            <w:proofErr w:type="spellEnd"/>
          </w:p>
        </w:tc>
        <w:tc>
          <w:tcPr>
            <w:tcW w:w="2410" w:type="dxa"/>
          </w:tcPr>
          <w:p w14:paraId="24B3A083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snapToGrid w:val="0"/>
                <w:szCs w:val="24"/>
                <w:lang w:eastAsia="tr-TR"/>
              </w:rPr>
              <w:t>≤ 4</w:t>
            </w:r>
          </w:p>
        </w:tc>
      </w:tr>
      <w:tr w:rsidR="00063416" w:rsidRPr="00907E58" w14:paraId="5916AE26" w14:textId="77777777" w:rsidTr="0065132D">
        <w:tc>
          <w:tcPr>
            <w:tcW w:w="3294" w:type="dxa"/>
          </w:tcPr>
          <w:p w14:paraId="10A61E13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</w:pP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Streptococcus</w:t>
            </w:r>
            <w:proofErr w:type="spellEnd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 xml:space="preserve"> </w:t>
            </w: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pneumoniae</w:t>
            </w:r>
            <w:proofErr w:type="spellEnd"/>
          </w:p>
        </w:tc>
        <w:tc>
          <w:tcPr>
            <w:tcW w:w="2410" w:type="dxa"/>
          </w:tcPr>
          <w:p w14:paraId="4FDC7F91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snapToGrid w:val="0"/>
                <w:szCs w:val="24"/>
                <w:lang w:eastAsia="tr-TR"/>
              </w:rPr>
              <w:t>≤ 0,125</w:t>
            </w:r>
          </w:p>
        </w:tc>
      </w:tr>
      <w:tr w:rsidR="00063416" w:rsidRPr="00907E58" w14:paraId="2886C7D6" w14:textId="77777777" w:rsidTr="0065132D">
        <w:tc>
          <w:tcPr>
            <w:tcW w:w="3294" w:type="dxa"/>
          </w:tcPr>
          <w:p w14:paraId="5623C4CA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 xml:space="preserve">E. </w:t>
            </w: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coli</w:t>
            </w:r>
            <w:proofErr w:type="spellEnd"/>
          </w:p>
        </w:tc>
        <w:tc>
          <w:tcPr>
            <w:tcW w:w="2410" w:type="dxa"/>
          </w:tcPr>
          <w:p w14:paraId="3541632F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snapToGrid w:val="0"/>
                <w:szCs w:val="24"/>
                <w:lang w:eastAsia="tr-TR"/>
              </w:rPr>
              <w:t>≤ 8</w:t>
            </w:r>
          </w:p>
        </w:tc>
      </w:tr>
      <w:tr w:rsidR="00063416" w:rsidRPr="00907E58" w14:paraId="429860D4" w14:textId="77777777" w:rsidTr="0065132D">
        <w:tc>
          <w:tcPr>
            <w:tcW w:w="3294" w:type="dxa"/>
          </w:tcPr>
          <w:p w14:paraId="55AD1457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</w:pP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Proteus</w:t>
            </w:r>
            <w:proofErr w:type="spellEnd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 xml:space="preserve"> </w:t>
            </w: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mirabilis</w:t>
            </w:r>
            <w:proofErr w:type="spellEnd"/>
          </w:p>
        </w:tc>
        <w:tc>
          <w:tcPr>
            <w:tcW w:w="2410" w:type="dxa"/>
          </w:tcPr>
          <w:p w14:paraId="6BF21EE6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snapToGrid w:val="0"/>
                <w:szCs w:val="24"/>
                <w:lang w:eastAsia="tr-TR"/>
              </w:rPr>
              <w:t>≤ 4</w:t>
            </w:r>
          </w:p>
        </w:tc>
      </w:tr>
      <w:tr w:rsidR="00063416" w:rsidRPr="00907E58" w14:paraId="128578DB" w14:textId="77777777" w:rsidTr="0065132D">
        <w:tc>
          <w:tcPr>
            <w:tcW w:w="3294" w:type="dxa"/>
          </w:tcPr>
          <w:p w14:paraId="6AC787D8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 xml:space="preserve">H. </w:t>
            </w:r>
            <w:proofErr w:type="spellStart"/>
            <w:r w:rsidRPr="00907E58">
              <w:rPr>
                <w:rFonts w:ascii="Times New Roman" w:hAnsi="Times New Roman"/>
                <w:i/>
                <w:snapToGrid w:val="0"/>
                <w:szCs w:val="24"/>
                <w:lang w:eastAsia="tr-TR"/>
              </w:rPr>
              <w:t>influenzae</w:t>
            </w:r>
            <w:proofErr w:type="spellEnd"/>
          </w:p>
        </w:tc>
        <w:tc>
          <w:tcPr>
            <w:tcW w:w="2410" w:type="dxa"/>
          </w:tcPr>
          <w:p w14:paraId="03B359B7" w14:textId="77777777" w:rsidR="00063416" w:rsidRPr="00907E58" w:rsidRDefault="00063416" w:rsidP="00907E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napToGrid w:val="0"/>
                <w:szCs w:val="24"/>
                <w:lang w:eastAsia="tr-TR"/>
              </w:rPr>
            </w:pPr>
            <w:r w:rsidRPr="00907E58">
              <w:rPr>
                <w:rFonts w:ascii="Times New Roman" w:hAnsi="Times New Roman"/>
                <w:snapToGrid w:val="0"/>
                <w:szCs w:val="24"/>
                <w:lang w:eastAsia="tr-TR"/>
              </w:rPr>
              <w:t>≤ 2</w:t>
            </w:r>
          </w:p>
        </w:tc>
      </w:tr>
    </w:tbl>
    <w:p w14:paraId="257A25F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A0EC48D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Stafilokokun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duyarlılığını,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metisilin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duyarlılığı belirlemektedir.</w:t>
      </w:r>
    </w:p>
    <w:p w14:paraId="5B231CE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Streptokok grupları A, B, C ve G’nin duyarlılığını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benzilpenisilin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duyarlılıkları belirlemektedir.</w:t>
      </w:r>
    </w:p>
    <w:p w14:paraId="6D18BEF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9628C33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lastRenderedPageBreak/>
        <w:t>Klinik deneyim</w:t>
      </w:r>
    </w:p>
    <w:p w14:paraId="75B697DC" w14:textId="55167BDA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16,603 hasta ile bir akademik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prospektif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randomize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, kısmen maskelenmiş, çok merkezli katarakt cerrahisi çalışması gerçekleştirilmiştir. </w:t>
      </w:r>
      <w:r w:rsidR="00A97962" w:rsidRPr="004A28C7">
        <w:rPr>
          <w:rFonts w:ascii="Times New Roman" w:hAnsi="Times New Roman"/>
          <w:snapToGrid w:val="0"/>
          <w:szCs w:val="24"/>
          <w:lang w:eastAsia="tr-TR"/>
        </w:rPr>
        <w:t>29</w:t>
      </w:r>
      <w:r w:rsidR="00A97962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r w:rsidRPr="00907E58">
        <w:rPr>
          <w:rFonts w:ascii="Times New Roman" w:hAnsi="Times New Roman"/>
          <w:snapToGrid w:val="0"/>
          <w:szCs w:val="24"/>
          <w:lang w:eastAsia="tr-TR"/>
        </w:rPr>
        <w:t>hastada (“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>” içermeyen gruplarda 24 ve 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” gruplarında 5 hasta)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endoftalmi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mevcuttu ve bunların 20’si (“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>” içermeyen gruplarda 17 ve 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” gruplarında 3 hasta) belgelenmiş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infektif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endoftalmiye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sahipti. Bu belgelenmiş 20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endoftalmi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vakası arasında 10 hasta 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plasebo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göz damlası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içermeyen” grupta, 7 hasta 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levofloksasin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göz damlaları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içermeyen” grupta, 2 hasta 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plasebo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göz damlaları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>” grubunda ve 1 hasta “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levofloksasin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göz damlaları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” grubunda idi. 0,1 ml sodyum klorür 9 mg/ml (%0,9) içinde 1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mg’lık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enjeksiyonluk</w:t>
      </w:r>
      <w:proofErr w:type="spellEnd"/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çözelti olarak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profilaktif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tedavi rejiminin uygulanması, toplam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postoperatif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endoftalmi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riskinde 4,92 katlık bir düşüşle ilişkilendirilmiştir.</w:t>
      </w:r>
    </w:p>
    <w:p w14:paraId="78ECDAEA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İki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prospektif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çalışma (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Wedje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2005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Lundström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2007) ve 5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retrospektif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çalışma pivot ESCRS çalışmasını desteklemiş olup,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postoperatif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endoftalmide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etkililiğini doğrulamıştır.</w:t>
      </w:r>
    </w:p>
    <w:p w14:paraId="319736E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122D594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b/>
          <w:snapToGrid w:val="0"/>
          <w:szCs w:val="24"/>
          <w:lang w:eastAsia="tr-TR"/>
        </w:rPr>
        <w:t>Farmakokinetik</w:t>
      </w:r>
      <w:proofErr w:type="spellEnd"/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 özellikler</w:t>
      </w:r>
    </w:p>
    <w:p w14:paraId="00683A1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3988C44B" w14:textId="77777777" w:rsidR="00063416" w:rsidRPr="00907E58" w:rsidRDefault="00063416" w:rsidP="00907E58">
      <w:pPr>
        <w:spacing w:line="276" w:lineRule="auto"/>
        <w:ind w:right="-567"/>
        <w:jc w:val="both"/>
        <w:rPr>
          <w:rFonts w:ascii="Times New Roman" w:hAnsi="Times New Roman"/>
          <w:b/>
          <w:noProof/>
          <w:szCs w:val="24"/>
        </w:rPr>
      </w:pPr>
      <w:r w:rsidRPr="00907E58">
        <w:rPr>
          <w:rFonts w:ascii="Times New Roman" w:hAnsi="Times New Roman"/>
          <w:b/>
          <w:noProof/>
          <w:szCs w:val="24"/>
        </w:rPr>
        <w:t>Genel özellikler</w:t>
      </w:r>
    </w:p>
    <w:p w14:paraId="75AA733A" w14:textId="77777777" w:rsidR="00907E58" w:rsidRDefault="00907E58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/>
          <w:szCs w:val="24"/>
          <w:u w:val="single"/>
        </w:rPr>
      </w:pPr>
    </w:p>
    <w:p w14:paraId="4EDF3F79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noProof/>
          <w:szCs w:val="24"/>
          <w:u w:val="single"/>
        </w:rPr>
        <w:t>Emilim:</w:t>
      </w:r>
      <w:r w:rsidRPr="00907E58">
        <w:rPr>
          <w:rFonts w:ascii="Times New Roman" w:hAnsi="Times New Roman"/>
          <w:noProof/>
          <w:szCs w:val="24"/>
        </w:rPr>
        <w:t xml:space="preserve"> 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Katarakt hastalarında 10 mg/ml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çözeltisinin 0,1 ml’lik önerilen tekli doz düzeyinde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yoldan uygulanmasını takiben, ortalama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düzeyi ilaç uygulamasından 30 saniye sonra 2614 ± 209 mg/l (10 hasta) ve 60 dakika sonra 1027 ± 43 mg/l (9 hasta ) idi.</w:t>
      </w:r>
    </w:p>
    <w:p w14:paraId="6592DF1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İntrakameral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enjeksiyonu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takiben sistemik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maruziyet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araştırılmamış olmakla birlikte göz ardı edilebilir düzeyde olması beklenmektedir.</w:t>
      </w:r>
    </w:p>
    <w:p w14:paraId="416027C8" w14:textId="77777777" w:rsidR="00907E58" w:rsidRDefault="00907E58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/>
          <w:szCs w:val="24"/>
          <w:u w:val="single"/>
        </w:rPr>
      </w:pPr>
    </w:p>
    <w:p w14:paraId="73EFBE9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noProof/>
          <w:szCs w:val="24"/>
          <w:u w:val="single"/>
        </w:rPr>
        <w:t>Dağılım:</w:t>
      </w:r>
      <w:r w:rsidRPr="00907E58">
        <w:rPr>
          <w:rFonts w:ascii="Times New Roman" w:hAnsi="Times New Roman"/>
          <w:noProof/>
          <w:szCs w:val="24"/>
        </w:rPr>
        <w:t xml:space="preserve"> Herhangi bir bilgi bulunmamaktadır.</w:t>
      </w:r>
    </w:p>
    <w:p w14:paraId="20E2FC13" w14:textId="77777777" w:rsidR="00907E58" w:rsidRDefault="00907E58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  <w:u w:val="single"/>
        </w:rPr>
      </w:pPr>
    </w:p>
    <w:p w14:paraId="4F703665" w14:textId="77777777" w:rsidR="00063416" w:rsidRPr="00907E58" w:rsidRDefault="00063416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  <w:u w:val="single"/>
        </w:rPr>
        <w:t>Biyotransformasyon:</w:t>
      </w:r>
      <w:r w:rsidRPr="00907E58">
        <w:rPr>
          <w:rFonts w:ascii="Times New Roman" w:hAnsi="Times New Roman"/>
          <w:noProof/>
          <w:szCs w:val="24"/>
        </w:rPr>
        <w:t xml:space="preserve"> Herhangi bir bilgi bulunmamaktadır.</w:t>
      </w:r>
    </w:p>
    <w:p w14:paraId="3EED2544" w14:textId="77777777" w:rsidR="00907E58" w:rsidRDefault="00907E58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  <w:u w:val="single"/>
        </w:rPr>
      </w:pPr>
    </w:p>
    <w:p w14:paraId="1EE3A4B9" w14:textId="77777777" w:rsidR="00063416" w:rsidRPr="00907E58" w:rsidRDefault="00063416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  <w:u w:val="single"/>
        </w:rPr>
        <w:t>Eliminasyon:</w:t>
      </w:r>
      <w:r w:rsidRPr="00907E58">
        <w:rPr>
          <w:rFonts w:ascii="Times New Roman" w:hAnsi="Times New Roman"/>
          <w:noProof/>
          <w:szCs w:val="24"/>
        </w:rPr>
        <w:t xml:space="preserve"> Herhangi bir bilgi bulunmamaktadır.</w:t>
      </w:r>
    </w:p>
    <w:p w14:paraId="2ABB7CAB" w14:textId="77777777" w:rsidR="00907E58" w:rsidRDefault="00907E58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  <w:u w:val="single"/>
        </w:rPr>
      </w:pPr>
    </w:p>
    <w:p w14:paraId="1E33137E" w14:textId="77777777" w:rsidR="00063416" w:rsidRPr="00907E58" w:rsidRDefault="00063416" w:rsidP="00907E58">
      <w:pPr>
        <w:spacing w:line="276" w:lineRule="auto"/>
        <w:ind w:right="-567"/>
        <w:jc w:val="both"/>
        <w:rPr>
          <w:rFonts w:ascii="Times New Roman" w:hAnsi="Times New Roman"/>
          <w:noProof/>
          <w:szCs w:val="24"/>
          <w:u w:val="single"/>
        </w:rPr>
      </w:pPr>
      <w:r w:rsidRPr="00907E58">
        <w:rPr>
          <w:rFonts w:ascii="Times New Roman" w:hAnsi="Times New Roman"/>
          <w:noProof/>
          <w:szCs w:val="24"/>
          <w:u w:val="single"/>
        </w:rPr>
        <w:t>Doğrusallık/Doğrusal olmayan durum:</w:t>
      </w:r>
      <w:r w:rsidRPr="00907E58">
        <w:rPr>
          <w:rFonts w:ascii="Times New Roman" w:hAnsi="Times New Roman"/>
          <w:noProof/>
          <w:szCs w:val="24"/>
        </w:rPr>
        <w:t xml:space="preserve"> Doğrusallık/Doğrusal olmayan durum konusunda veri bulunmamaktadır.</w:t>
      </w:r>
    </w:p>
    <w:p w14:paraId="287F8AC9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3FFC1BD5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Klinik öncesi güvenlilik verileri</w:t>
      </w:r>
    </w:p>
    <w:p w14:paraId="45C499EA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251703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Klinik dışı çalışmalardaki etkiler, yalızca maksimum insan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maruziyetinin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çok üstündeki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maruziyet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düzeylerinde gözlenmiş olup klinik kullanım açısından önem taşımamaktadır.</w:t>
      </w:r>
    </w:p>
    <w:p w14:paraId="2949B489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0B9FB01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Albino sıçanlarda 1 mg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sefuroksimin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intravitreal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gramStart"/>
      <w:r w:rsidRPr="00907E58">
        <w:rPr>
          <w:rFonts w:ascii="Times New Roman" w:hAnsi="Times New Roman"/>
          <w:snapToGrid w:val="0"/>
          <w:szCs w:val="24"/>
          <w:lang w:eastAsia="tr-TR"/>
        </w:rPr>
        <w:t>enjeksiyonu</w:t>
      </w:r>
      <w:proofErr w:type="gram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aköz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vitröz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yapılarda enjeksiyondan 30 dakika sonra sırasıyla 19 - 35 mg/l ve 600-780 mg/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l’lik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düzeylerle sonuçlanmıştır. Bu düzeyler 6 saat sonra bu iki yapıda sırasıyla 1,9 - 7,3 ve 190 - 260 mg/l’ye </w:t>
      </w:r>
      <w:r w:rsidRPr="00907E58">
        <w:rPr>
          <w:rFonts w:ascii="Times New Roman" w:hAnsi="Times New Roman"/>
          <w:snapToGrid w:val="0"/>
          <w:szCs w:val="24"/>
          <w:lang w:eastAsia="tr-TR"/>
        </w:rPr>
        <w:lastRenderedPageBreak/>
        <w:t xml:space="preserve">düşmüştür. İlk 3 gün boyunca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intraoküler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basınçta herhangi bir artış yoktur.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Histopatolojik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incelemeler serum fizyolojik uygulamasına kıyasla herhangi bir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dejeneratif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değişiklik göstermemiştir.</w:t>
      </w:r>
    </w:p>
    <w:p w14:paraId="0833C87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459E29BD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ERG: a-, b- ve c- dalgaları hem kontrol hem de antibiyotik enjekte edilen gözde 14 güne kadar kaybolmuştur.</w:t>
      </w:r>
    </w:p>
    <w:p w14:paraId="5FB40D7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974F42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İyileşme gözlenmiş olup kontrole göre daha yavaş olabilir. ERG,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intravitreal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uygulamayı takiben 55 güne kadar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retinal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toksisiteyi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düşündüren herhangi bir belirgin değişiklik göstermemiştir.</w:t>
      </w:r>
    </w:p>
    <w:p w14:paraId="36C7744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CC4A827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FARMASÖTİK ÖZELLİKLER</w:t>
      </w:r>
    </w:p>
    <w:p w14:paraId="3F73AA46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3580B8E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Yardımcı maddelerin listesi</w:t>
      </w:r>
    </w:p>
    <w:p w14:paraId="2FCDA30F" w14:textId="2C847A0E" w:rsidR="00063416" w:rsidRPr="00907E58" w:rsidRDefault="004C3FBF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Yardımcı madde bulunmamaktadır.</w:t>
      </w:r>
    </w:p>
    <w:p w14:paraId="7EF54CFD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3977E3F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Geçimsizlikler</w:t>
      </w:r>
    </w:p>
    <w:p w14:paraId="0B9793D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Bu tıbbi ürün bölüm 6.6’da belirtilenler dışında başka tıbbi ürünlerle karıştırılmamalıdır.</w:t>
      </w:r>
    </w:p>
    <w:p w14:paraId="511070A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EBEC208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Raf ömrü</w:t>
      </w:r>
    </w:p>
    <w:p w14:paraId="20F166C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18 ay.</w:t>
      </w:r>
    </w:p>
    <w:p w14:paraId="67FF941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2E1F77F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Sulandırdıktan sonra: Ürün sulandırıldıktan sonra derhal kullanılmalıdır ve tekrar kullanılmamalıdır. </w:t>
      </w:r>
    </w:p>
    <w:p w14:paraId="41E0B09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3E4129B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Saklamaya yönelik özel tedbirler</w:t>
      </w:r>
    </w:p>
    <w:p w14:paraId="145BB19C" w14:textId="1881009F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25</w:t>
      </w:r>
      <w:r w:rsidRPr="00907E58">
        <w:rPr>
          <w:rFonts w:ascii="Times New Roman" w:hAnsi="Times New Roman"/>
          <w:snapToGrid w:val="0"/>
          <w:szCs w:val="24"/>
          <w:vertAlign w:val="superscript"/>
          <w:lang w:eastAsia="tr-TR"/>
        </w:rPr>
        <w:t>º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C’nin altındaki </w:t>
      </w:r>
      <w:r w:rsidR="00C32626" w:rsidRPr="00712BA5">
        <w:rPr>
          <w:rFonts w:ascii="Times New Roman" w:hAnsi="Times New Roman"/>
          <w:snapToGrid w:val="0"/>
          <w:szCs w:val="24"/>
          <w:lang w:eastAsia="tr-TR"/>
        </w:rPr>
        <w:t xml:space="preserve">oda sıcaklığında </w:t>
      </w:r>
      <w:r w:rsidRPr="00907E58">
        <w:rPr>
          <w:rFonts w:ascii="Times New Roman" w:hAnsi="Times New Roman"/>
          <w:snapToGrid w:val="0"/>
          <w:szCs w:val="24"/>
          <w:lang w:eastAsia="tr-TR"/>
        </w:rPr>
        <w:t>saklayınız.</w:t>
      </w:r>
    </w:p>
    <w:p w14:paraId="1CB9777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22959F1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Işıktan korumak için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flakonu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dış karton ambalajında saklayınız.</w:t>
      </w:r>
    </w:p>
    <w:p w14:paraId="576C252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AD92DC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Sulandırılmış tıbbi ürünün saklama koşulları için bölüm 6.3’e bakınız.</w:t>
      </w:r>
    </w:p>
    <w:p w14:paraId="28BD9CAF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0D30AF62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Ambalajın niteliği ve içeriği</w:t>
      </w:r>
    </w:p>
    <w:p w14:paraId="61A5947F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Bromobütil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tıpa ve alüminyum geçme kapakla kapatılmış olan 8-ml tip I cam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flakon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. </w:t>
      </w:r>
    </w:p>
    <w:p w14:paraId="283EBD4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09F03147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1×50 mg, 10×50 mg veya 20×50 mg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flakon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içeren kutu. </w:t>
      </w:r>
    </w:p>
    <w:p w14:paraId="5E9F142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F667D5A" w14:textId="77777777" w:rsidR="00063416" w:rsidRPr="00907E58" w:rsidRDefault="00063416" w:rsidP="00907E5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Beşeri tıbbi üründen arta kalan maddelerin imhası ve diğer özel önlemler</w:t>
      </w:r>
    </w:p>
    <w:p w14:paraId="3357040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APROKAM, katarakt cerrahisi için önerilen aseptik koşullarda bir katarakt cerrahı tarafından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enjeksiyonla uygulanmalıdır.</w:t>
      </w:r>
    </w:p>
    <w:p w14:paraId="2C4141DA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5E88177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aps/>
          <w:snapToGrid w:val="0"/>
          <w:szCs w:val="24"/>
          <w:lang w:eastAsia="tr-TR"/>
        </w:rPr>
      </w:pPr>
      <w:r w:rsidRPr="00907E58">
        <w:rPr>
          <w:rFonts w:ascii="Times New Roman" w:hAnsi="Times New Roman"/>
          <w:caps/>
          <w:snapToGrid w:val="0"/>
          <w:szCs w:val="24"/>
          <w:lang w:eastAsia="tr-TR"/>
        </w:rPr>
        <w:t>Flakon sadece tek kullanım içindir.</w:t>
      </w:r>
    </w:p>
    <w:p w14:paraId="25F9372E" w14:textId="6B337CB9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caps/>
          <w:snapToGrid w:val="0"/>
          <w:szCs w:val="24"/>
          <w:lang w:eastAsia="tr-TR"/>
        </w:rPr>
        <w:t>Her flakon sadece bir hasta için kullanılmalıdır</w:t>
      </w:r>
      <w:r w:rsidR="004C3FBF" w:rsidRPr="00907E58">
        <w:rPr>
          <w:rFonts w:ascii="Times New Roman" w:hAnsi="Times New Roman"/>
          <w:snapToGrid w:val="0"/>
          <w:szCs w:val="24"/>
          <w:lang w:eastAsia="tr-TR"/>
        </w:rPr>
        <w:t xml:space="preserve">. </w:t>
      </w:r>
      <w:proofErr w:type="spellStart"/>
      <w:r w:rsidR="004C3FBF" w:rsidRPr="00907E58">
        <w:rPr>
          <w:rFonts w:ascii="Times New Roman" w:hAnsi="Times New Roman"/>
          <w:snapToGrid w:val="0"/>
          <w:szCs w:val="24"/>
          <w:lang w:eastAsia="tr-TR"/>
        </w:rPr>
        <w:t>Flakonun</w:t>
      </w:r>
      <w:proofErr w:type="spellEnd"/>
      <w:r w:rsidR="004C3FBF" w:rsidRPr="00907E58">
        <w:rPr>
          <w:rFonts w:ascii="Times New Roman" w:hAnsi="Times New Roman"/>
          <w:snapToGrid w:val="0"/>
          <w:szCs w:val="24"/>
          <w:lang w:eastAsia="tr-TR"/>
        </w:rPr>
        <w:t xml:space="preserve"> üzerindeki etiket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hastanın dosyasına yapıştırılabilir.</w:t>
      </w:r>
    </w:p>
    <w:p w14:paraId="64C6985B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31CFC130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lastRenderedPageBreak/>
        <w:t xml:space="preserve">Ürünü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intrakameral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uygulamaya yönelik olarak hazırlamak için, lütfen aşağıdaki talimatlara uyunuz:</w:t>
      </w:r>
    </w:p>
    <w:p w14:paraId="0A331805" w14:textId="77777777" w:rsidR="00063416" w:rsidRPr="00907E58" w:rsidRDefault="00063416" w:rsidP="00907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Geçme kapağı çıkarın.</w:t>
      </w:r>
    </w:p>
    <w:p w14:paraId="652D3987" w14:textId="77777777" w:rsidR="00063416" w:rsidRPr="00907E58" w:rsidRDefault="00063416" w:rsidP="00907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Steril bir iğne yerleştirmeden önce,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flakonun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kauçuk tıpasının dış kısmı dezenfekte edilmelidir.</w:t>
      </w:r>
    </w:p>
    <w:p w14:paraId="1304D559" w14:textId="64D0FA6B" w:rsidR="00063416" w:rsidRPr="00907E58" w:rsidRDefault="00223D0D" w:rsidP="00907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CD3216">
        <w:rPr>
          <w:szCs w:val="24"/>
        </w:rPr>
        <w:t xml:space="preserve">Steril iğneyi </w:t>
      </w:r>
      <w:proofErr w:type="spellStart"/>
      <w:r w:rsidRPr="00CD3216">
        <w:rPr>
          <w:szCs w:val="24"/>
        </w:rPr>
        <w:t>flakon</w:t>
      </w:r>
      <w:proofErr w:type="spellEnd"/>
      <w:r w:rsidRPr="00CD3216">
        <w:rPr>
          <w:szCs w:val="24"/>
        </w:rPr>
        <w:t xml:space="preserve"> tıpasının merkezine doğru dikey olarak itiniz, bu esnada </w:t>
      </w:r>
      <w:proofErr w:type="spellStart"/>
      <w:r w:rsidRPr="00CD3216">
        <w:rPr>
          <w:szCs w:val="24"/>
        </w:rPr>
        <w:t>flakonu</w:t>
      </w:r>
      <w:proofErr w:type="spellEnd"/>
      <w:r w:rsidRPr="00CD3216">
        <w:rPr>
          <w:szCs w:val="24"/>
        </w:rPr>
        <w:t xml:space="preserve"> dik konumda tutunuz.</w:t>
      </w:r>
      <w:r w:rsidRPr="00CD3216">
        <w:rPr>
          <w:szCs w:val="24"/>
          <w:lang w:val="en-US"/>
        </w:rPr>
        <w:t xml:space="preserve"> 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Flakonun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içerisine 5 ml 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enjeksiyonluk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9 mg/ml (%0,9) sodyum klorür çözeltisini, aseptik olarak enjekte ediniz.</w:t>
      </w:r>
    </w:p>
    <w:p w14:paraId="3B7980FD" w14:textId="77777777" w:rsidR="00063416" w:rsidRDefault="00063416" w:rsidP="00907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Çözeltiyi, görünür partiküllerden arınana kadar hafifçe çalkalayınız.</w:t>
      </w:r>
    </w:p>
    <w:p w14:paraId="15A38B93" w14:textId="3504065A" w:rsidR="0081621C" w:rsidRPr="00CD3216" w:rsidRDefault="0081621C" w:rsidP="003C6F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CD3216">
        <w:rPr>
          <w:szCs w:val="24"/>
        </w:rPr>
        <w:t xml:space="preserve">1 ml’lik steril enjektör üzerine 5 mikron filtreli </w:t>
      </w:r>
      <w:r w:rsidR="003C6FA6" w:rsidRPr="00CD3216">
        <w:rPr>
          <w:szCs w:val="24"/>
        </w:rPr>
        <w:t xml:space="preserve">(dokuma veya örme olmayan naylon üzerinde akrilik kopolimer </w:t>
      </w:r>
      <w:proofErr w:type="spellStart"/>
      <w:r w:rsidR="003C6FA6" w:rsidRPr="00CD3216">
        <w:rPr>
          <w:szCs w:val="24"/>
        </w:rPr>
        <w:t>membran</w:t>
      </w:r>
      <w:proofErr w:type="spellEnd"/>
      <w:r w:rsidR="003C6FA6" w:rsidRPr="00CD3216">
        <w:rPr>
          <w:szCs w:val="24"/>
        </w:rPr>
        <w:t xml:space="preserve">) </w:t>
      </w:r>
      <w:r w:rsidRPr="00CD3216">
        <w:rPr>
          <w:szCs w:val="24"/>
        </w:rPr>
        <w:t>steril bir iğneyi (18G x 1½”, 1.2 mm x 40 mm) monte ediniz.</w:t>
      </w:r>
      <w:r w:rsidRPr="00CD3216">
        <w:rPr>
          <w:szCs w:val="24"/>
          <w:lang w:val="it-IT"/>
        </w:rPr>
        <w:t xml:space="preserve"> </w:t>
      </w:r>
      <w:r w:rsidRPr="00CD3216">
        <w:rPr>
          <w:szCs w:val="24"/>
        </w:rPr>
        <w:t xml:space="preserve">Daha sonra bu 1 ml’lik enjektörü, </w:t>
      </w:r>
      <w:proofErr w:type="spellStart"/>
      <w:r w:rsidRPr="00CD3216">
        <w:rPr>
          <w:szCs w:val="24"/>
        </w:rPr>
        <w:t>flakon</w:t>
      </w:r>
      <w:proofErr w:type="spellEnd"/>
      <w:r w:rsidRPr="00CD3216">
        <w:rPr>
          <w:szCs w:val="24"/>
        </w:rPr>
        <w:t xml:space="preserve"> tıpasının merkezine doğru dikey olarak itiniz, bu esnada </w:t>
      </w:r>
      <w:proofErr w:type="spellStart"/>
      <w:r w:rsidRPr="00CD3216">
        <w:rPr>
          <w:szCs w:val="24"/>
        </w:rPr>
        <w:t>flakonu</w:t>
      </w:r>
      <w:proofErr w:type="spellEnd"/>
      <w:r w:rsidRPr="00CD3216">
        <w:rPr>
          <w:szCs w:val="24"/>
        </w:rPr>
        <w:t xml:space="preserve"> dik konumda tutunuz.</w:t>
      </w:r>
    </w:p>
    <w:p w14:paraId="3F563297" w14:textId="653D88A5" w:rsidR="00063416" w:rsidRPr="0081621C" w:rsidRDefault="00063416" w:rsidP="0081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81621C">
        <w:rPr>
          <w:rFonts w:ascii="Times New Roman" w:hAnsi="Times New Roman"/>
          <w:snapToGrid w:val="0"/>
          <w:szCs w:val="24"/>
          <w:lang w:eastAsia="tr-TR"/>
        </w:rPr>
        <w:t>Çözeltinin en az 0,1 ml’sini, aseptik olarak çekiniz.</w:t>
      </w:r>
    </w:p>
    <w:p w14:paraId="68DFAC09" w14:textId="43EC0A80" w:rsidR="00063416" w:rsidRPr="00907E58" w:rsidRDefault="0081621C" w:rsidP="00907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CD3216">
        <w:rPr>
          <w:szCs w:val="24"/>
        </w:rPr>
        <w:t>5 mikron filtreli i</w:t>
      </w:r>
      <w:r w:rsidR="00063416" w:rsidRPr="00CD3216">
        <w:rPr>
          <w:rFonts w:ascii="Times New Roman" w:hAnsi="Times New Roman"/>
          <w:snapToGrid w:val="0"/>
          <w:szCs w:val="24"/>
          <w:lang w:eastAsia="tr-TR"/>
        </w:rPr>
        <w:t xml:space="preserve">ğneyi </w:t>
      </w:r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enjektörden çıkarınız ve enjektöre uygun bir ön kamara </w:t>
      </w:r>
      <w:proofErr w:type="spellStart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>kanülü</w:t>
      </w:r>
      <w:proofErr w:type="spellEnd"/>
      <w:r w:rsidR="00063416" w:rsidRPr="00907E58">
        <w:rPr>
          <w:rFonts w:ascii="Times New Roman" w:hAnsi="Times New Roman"/>
          <w:snapToGrid w:val="0"/>
          <w:szCs w:val="24"/>
          <w:lang w:eastAsia="tr-TR"/>
        </w:rPr>
        <w:t xml:space="preserve"> takınız.</w:t>
      </w:r>
    </w:p>
    <w:p w14:paraId="67D7C5A9" w14:textId="77777777" w:rsidR="00063416" w:rsidRPr="00907E58" w:rsidRDefault="00063416" w:rsidP="00907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Enjektörün içerisindeki havayı dikkatli bir şekilde dışarı çıkartınız ve dozu, enjektör üzerindeki 0,1 ml işaretine gelecek şekilde ayarlayınız. Enjektör, enjeksiyon için hazırdır.</w:t>
      </w:r>
    </w:p>
    <w:p w14:paraId="5BC6CFEA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52336F2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Sulandırılmış çözelti görsel olarak incelenmeli ve sadece partikül içermeyen, renksiz ila sarımsı bir çözelti ise kullanılmalıdır. Fizyolojik değerlere yakın bir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pH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ozmolaliteye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sahiptir (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pH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yaklaşık 7,3 ve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ozmolalite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yaklaşık 335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mosmol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>/kg).</w:t>
      </w:r>
    </w:p>
    <w:p w14:paraId="62FFD42E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0B7BC2B4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Kullandıktan sonra, sulandırılmış çözeltiden kalan kısmı atınız. Daha sonra tekrar kullanmak için saklamayınız.</w:t>
      </w:r>
    </w:p>
    <w:p w14:paraId="25E92CA3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D623A5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>Kullanılmamış olan ürünler ya da atık materyaller ‘Tıbbi Atıkların Kontrolü Yönetmeliği’ ve</w:t>
      </w:r>
    </w:p>
    <w:p w14:paraId="3C65D0C3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“Ambalaj ve Ambalaj Atıklarının Kontrolü Yönetmelik”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lerine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uygun olarak imha edilmelidir.</w:t>
      </w:r>
    </w:p>
    <w:p w14:paraId="29068DB3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B76E317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 xml:space="preserve">RUHSAT SAHİBİ </w:t>
      </w:r>
    </w:p>
    <w:p w14:paraId="2713605F" w14:textId="77777777" w:rsidR="00907E58" w:rsidRDefault="00907E58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7458A04C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Thea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Pharma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İlaç Ticaret Limited Şirketi</w:t>
      </w:r>
    </w:p>
    <w:p w14:paraId="36A9942E" w14:textId="5EC57C53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Hakkı Yeten Caddesi </w:t>
      </w:r>
      <w:proofErr w:type="spellStart"/>
      <w:r w:rsidRPr="00907E58">
        <w:rPr>
          <w:rFonts w:ascii="Times New Roman" w:hAnsi="Times New Roman"/>
          <w:snapToGrid w:val="0"/>
          <w:szCs w:val="24"/>
          <w:lang w:eastAsia="tr-TR"/>
        </w:rPr>
        <w:t>Selenium</w:t>
      </w:r>
      <w:proofErr w:type="spellEnd"/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Plaza No:10 Kat: 21</w:t>
      </w:r>
      <w:r w:rsidR="003A3F7F">
        <w:rPr>
          <w:rFonts w:ascii="Times New Roman" w:hAnsi="Times New Roman"/>
          <w:snapToGrid w:val="0"/>
          <w:szCs w:val="24"/>
          <w:lang w:eastAsia="tr-TR"/>
        </w:rPr>
        <w:t xml:space="preserve"> </w:t>
      </w:r>
      <w:r w:rsidRPr="00907E58">
        <w:rPr>
          <w:rFonts w:ascii="Times New Roman" w:hAnsi="Times New Roman"/>
          <w:snapToGrid w:val="0"/>
          <w:szCs w:val="24"/>
          <w:lang w:eastAsia="tr-TR"/>
        </w:rPr>
        <w:t>Fulya</w:t>
      </w:r>
      <w:r w:rsidR="004C3FBF" w:rsidRPr="00907E58">
        <w:rPr>
          <w:rFonts w:ascii="Times New Roman" w:hAnsi="Times New Roman"/>
          <w:snapToGrid w:val="0"/>
          <w:szCs w:val="24"/>
          <w:lang w:eastAsia="tr-TR"/>
        </w:rPr>
        <w:t>,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Beşiktaş</w:t>
      </w:r>
      <w:r w:rsidR="004C3FBF" w:rsidRPr="00907E58">
        <w:rPr>
          <w:rFonts w:ascii="Times New Roman" w:hAnsi="Times New Roman"/>
          <w:snapToGrid w:val="0"/>
          <w:szCs w:val="24"/>
          <w:lang w:eastAsia="tr-TR"/>
        </w:rPr>
        <w:t>,</w:t>
      </w:r>
      <w:r w:rsidRPr="00907E58">
        <w:rPr>
          <w:rFonts w:ascii="Times New Roman" w:hAnsi="Times New Roman"/>
          <w:snapToGrid w:val="0"/>
          <w:szCs w:val="24"/>
          <w:lang w:eastAsia="tr-TR"/>
        </w:rPr>
        <w:t xml:space="preserve"> İstanbul</w:t>
      </w:r>
    </w:p>
    <w:p w14:paraId="22A67032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662AEC94" w14:textId="1F1C3475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Cs w:val="24"/>
        </w:rPr>
      </w:pPr>
      <w:r w:rsidRPr="00907E58">
        <w:rPr>
          <w:rFonts w:ascii="Times New Roman" w:hAnsi="Times New Roman"/>
          <w:b/>
          <w:bCs/>
          <w:szCs w:val="24"/>
        </w:rPr>
        <w:t>RUHSAT NUMARASI</w:t>
      </w:r>
    </w:p>
    <w:p w14:paraId="2D64F05C" w14:textId="77777777" w:rsidR="00907E58" w:rsidRDefault="00907E58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7C2CF5F" w14:textId="4AB9DC4C" w:rsidR="00063416" w:rsidRPr="00B3052C" w:rsidRDefault="00B3052C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  <w:r w:rsidRPr="00B3052C">
        <w:rPr>
          <w:rFonts w:ascii="Times New Roman" w:hAnsi="Times New Roman"/>
          <w:noProof/>
          <w:szCs w:val="24"/>
        </w:rPr>
        <w:t>2014</w:t>
      </w:r>
      <w:r w:rsidR="004C3FBF" w:rsidRPr="00B3052C">
        <w:rPr>
          <w:rFonts w:ascii="Times New Roman" w:hAnsi="Times New Roman"/>
          <w:noProof/>
          <w:szCs w:val="24"/>
        </w:rPr>
        <w:t>/</w:t>
      </w:r>
      <w:r w:rsidRPr="00B3052C">
        <w:rPr>
          <w:rFonts w:ascii="Times New Roman" w:hAnsi="Times New Roman"/>
          <w:noProof/>
          <w:szCs w:val="24"/>
        </w:rPr>
        <w:t>568</w:t>
      </w:r>
    </w:p>
    <w:p w14:paraId="1815425D" w14:textId="77777777" w:rsidR="004C3FBF" w:rsidRPr="00907E58" w:rsidRDefault="004C3FBF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279A2EAE" w14:textId="77777777" w:rsidR="00063416" w:rsidRPr="00907E58" w:rsidRDefault="00063416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napToGrid w:val="0"/>
          <w:szCs w:val="24"/>
          <w:lang w:eastAsia="tr-TR"/>
        </w:rPr>
      </w:pPr>
      <w:r w:rsidRPr="00907E58">
        <w:rPr>
          <w:rFonts w:ascii="Times New Roman" w:hAnsi="Times New Roman"/>
          <w:b/>
          <w:snapToGrid w:val="0"/>
          <w:szCs w:val="24"/>
          <w:lang w:eastAsia="tr-TR"/>
        </w:rPr>
        <w:t>İLK RUHSAT TARİHİ/RUHSAT YENİLEME TARİHİ</w:t>
      </w:r>
    </w:p>
    <w:p w14:paraId="1465B6B7" w14:textId="77777777" w:rsidR="00907E58" w:rsidRDefault="00907E58" w:rsidP="00907E58">
      <w:pPr>
        <w:pStyle w:val="ListParagraph"/>
        <w:spacing w:line="276" w:lineRule="auto"/>
        <w:ind w:left="360" w:right="-567" w:hanging="360"/>
        <w:jc w:val="both"/>
        <w:rPr>
          <w:rFonts w:ascii="Times New Roman" w:hAnsi="Times New Roman"/>
          <w:noProof/>
          <w:szCs w:val="24"/>
        </w:rPr>
      </w:pPr>
    </w:p>
    <w:p w14:paraId="2049140F" w14:textId="57453D74" w:rsidR="004C3FBF" w:rsidRPr="00907E58" w:rsidRDefault="004C3FBF" w:rsidP="00907E58">
      <w:pPr>
        <w:pStyle w:val="ListParagraph"/>
        <w:spacing w:line="276" w:lineRule="auto"/>
        <w:ind w:left="360" w:right="-567" w:hanging="360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</w:rPr>
        <w:t xml:space="preserve">İlk ruhsat tarihi: </w:t>
      </w:r>
      <w:r w:rsidR="00B3052C">
        <w:rPr>
          <w:rFonts w:ascii="Times New Roman" w:hAnsi="Times New Roman"/>
          <w:noProof/>
          <w:szCs w:val="24"/>
        </w:rPr>
        <w:t>21.</w:t>
      </w:r>
      <w:r w:rsidR="00E06E19">
        <w:rPr>
          <w:rFonts w:ascii="Times New Roman" w:hAnsi="Times New Roman"/>
          <w:noProof/>
          <w:szCs w:val="24"/>
        </w:rPr>
        <w:t>07.2014</w:t>
      </w:r>
    </w:p>
    <w:p w14:paraId="2E93355A" w14:textId="2472385B" w:rsidR="004C3FBF" w:rsidRPr="00907E58" w:rsidRDefault="004C3FBF" w:rsidP="00907E58">
      <w:pPr>
        <w:pStyle w:val="ListParagraph"/>
        <w:spacing w:line="276" w:lineRule="auto"/>
        <w:ind w:left="360" w:right="-567" w:hanging="360"/>
        <w:jc w:val="both"/>
        <w:rPr>
          <w:rFonts w:ascii="Times New Roman" w:hAnsi="Times New Roman"/>
          <w:noProof/>
          <w:szCs w:val="24"/>
        </w:rPr>
      </w:pPr>
      <w:r w:rsidRPr="00907E58">
        <w:rPr>
          <w:rFonts w:ascii="Times New Roman" w:hAnsi="Times New Roman"/>
          <w:noProof/>
          <w:szCs w:val="24"/>
        </w:rPr>
        <w:t xml:space="preserve">Ruhsat yenileme tarihi: </w:t>
      </w:r>
    </w:p>
    <w:p w14:paraId="60FD8168" w14:textId="77777777" w:rsidR="00063416" w:rsidRPr="00907E58" w:rsidRDefault="00063416" w:rsidP="00907E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Cs w:val="24"/>
          <w:lang w:eastAsia="tr-TR"/>
        </w:rPr>
      </w:pPr>
    </w:p>
    <w:p w14:paraId="1961E7D1" w14:textId="512DA985" w:rsidR="00142D68" w:rsidRPr="007147F6" w:rsidRDefault="003A3F7F" w:rsidP="00907E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zCs w:val="24"/>
        </w:rPr>
      </w:pPr>
      <w:r w:rsidRPr="003A3F7F">
        <w:rPr>
          <w:rFonts w:ascii="Times New Roman" w:hAnsi="Times New Roman"/>
          <w:b/>
          <w:snapToGrid w:val="0"/>
          <w:szCs w:val="24"/>
          <w:lang w:eastAsia="tr-TR"/>
        </w:rPr>
        <w:t>KÜB’ÜN YENİLENME TARİHİ</w:t>
      </w:r>
    </w:p>
    <w:p w14:paraId="6142431C" w14:textId="77777777" w:rsidR="007147F6" w:rsidRPr="00146040" w:rsidRDefault="007147F6" w:rsidP="007147F6">
      <w:pPr>
        <w:pStyle w:val="ListParagraph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78267B23" w14:textId="3B06E21C" w:rsidR="00146040" w:rsidRPr="00146040" w:rsidRDefault="00146040" w:rsidP="001460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146040">
        <w:rPr>
          <w:rFonts w:ascii="Times New Roman" w:hAnsi="Times New Roman"/>
          <w:noProof/>
          <w:szCs w:val="24"/>
        </w:rPr>
        <w:t>2</w:t>
      </w:r>
      <w:r>
        <w:rPr>
          <w:rFonts w:ascii="Times New Roman" w:hAnsi="Times New Roman"/>
          <w:noProof/>
          <w:szCs w:val="24"/>
        </w:rPr>
        <w:t>0</w:t>
      </w:r>
      <w:r w:rsidRPr="00146040">
        <w:rPr>
          <w:rFonts w:ascii="Times New Roman" w:hAnsi="Times New Roman"/>
          <w:noProof/>
          <w:szCs w:val="24"/>
        </w:rPr>
        <w:t>.11.2014</w:t>
      </w:r>
    </w:p>
    <w:sectPr w:rsidR="00146040" w:rsidRPr="00146040" w:rsidSect="001F4FCD">
      <w:footerReference w:type="even" r:id="rId11"/>
      <w:footerReference w:type="default" r:id="rId12"/>
      <w:footerReference w:type="first" r:id="rId13"/>
      <w:pgSz w:w="11906" w:h="16838"/>
      <w:pgMar w:top="1417" w:right="1133" w:bottom="1417" w:left="1417" w:header="283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5C73D" w14:textId="77777777" w:rsidR="00B55517" w:rsidRDefault="00B55517" w:rsidP="00063416">
      <w:r>
        <w:separator/>
      </w:r>
    </w:p>
  </w:endnote>
  <w:endnote w:type="continuationSeparator" w:id="0">
    <w:p w14:paraId="28EE58B0" w14:textId="77777777" w:rsidR="00B55517" w:rsidRDefault="00B55517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Tü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D49CA" w14:textId="77777777" w:rsidR="001050AA" w:rsidRDefault="00063416" w:rsidP="009064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14AB91" w14:textId="77777777" w:rsidR="001050AA" w:rsidRDefault="007147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31BEB" w14:textId="6D134D88" w:rsidR="001050AA" w:rsidRPr="004C3FBF" w:rsidRDefault="00063416" w:rsidP="00907E58">
    <w:pPr>
      <w:pStyle w:val="Footer"/>
      <w:tabs>
        <w:tab w:val="clear" w:pos="4703"/>
        <w:tab w:val="clear" w:pos="9406"/>
      </w:tabs>
      <w:jc w:val="center"/>
      <w:rPr>
        <w:color w:val="808080" w:themeColor="background1" w:themeShade="80"/>
        <w:szCs w:val="24"/>
      </w:rPr>
    </w:pPr>
    <w:r w:rsidRPr="004C3FBF">
      <w:rPr>
        <w:color w:val="808080" w:themeColor="background1" w:themeShade="80"/>
        <w:szCs w:val="24"/>
      </w:rPr>
      <w:fldChar w:fldCharType="begin"/>
    </w:r>
    <w:r w:rsidRPr="004C3FBF">
      <w:rPr>
        <w:color w:val="808080" w:themeColor="background1" w:themeShade="80"/>
        <w:szCs w:val="24"/>
      </w:rPr>
      <w:instrText xml:space="preserve">  PAGE \* Arabic  \* MERGEFORMAT </w:instrText>
    </w:r>
    <w:r w:rsidRPr="004C3FBF">
      <w:rPr>
        <w:color w:val="808080" w:themeColor="background1" w:themeShade="80"/>
        <w:szCs w:val="24"/>
      </w:rPr>
      <w:fldChar w:fldCharType="separate"/>
    </w:r>
    <w:r w:rsidR="007147F6">
      <w:rPr>
        <w:noProof/>
        <w:color w:val="808080" w:themeColor="background1" w:themeShade="80"/>
        <w:szCs w:val="24"/>
      </w:rPr>
      <w:t>8</w:t>
    </w:r>
    <w:r w:rsidRPr="004C3FBF">
      <w:rPr>
        <w:color w:val="808080" w:themeColor="background1" w:themeShade="8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70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395D3" w14:textId="15D44EB6" w:rsidR="00907E58" w:rsidRDefault="00907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73C266" w14:textId="644C53B1" w:rsidR="00EB21DF" w:rsidRPr="00EB21DF" w:rsidRDefault="007147F6" w:rsidP="00EB21DF">
    <w:pPr>
      <w:pStyle w:val="Footer"/>
      <w:tabs>
        <w:tab w:val="clear" w:pos="4703"/>
        <w:tab w:val="clear" w:pos="9406"/>
      </w:tabs>
      <w:rPr>
        <w:i/>
        <w:color w:val="808080" w:themeColor="background1" w:themeShade="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23B0C" w14:textId="77777777" w:rsidR="00B55517" w:rsidRDefault="00B55517" w:rsidP="00063416">
      <w:r>
        <w:separator/>
      </w:r>
    </w:p>
  </w:footnote>
  <w:footnote w:type="continuationSeparator" w:id="0">
    <w:p w14:paraId="0734A414" w14:textId="77777777" w:rsidR="00B55517" w:rsidRDefault="00B55517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D51"/>
    <w:multiLevelType w:val="hybridMultilevel"/>
    <w:tmpl w:val="0BBEC69C"/>
    <w:lvl w:ilvl="0" w:tplc="E402B2F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0964A4"/>
    <w:multiLevelType w:val="hybridMultilevel"/>
    <w:tmpl w:val="46F69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95887"/>
    <w:multiLevelType w:val="multilevel"/>
    <w:tmpl w:val="752C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16"/>
    <w:rsid w:val="00040B0E"/>
    <w:rsid w:val="00063416"/>
    <w:rsid w:val="000A602C"/>
    <w:rsid w:val="00142D68"/>
    <w:rsid w:val="00146040"/>
    <w:rsid w:val="001B52C1"/>
    <w:rsid w:val="002226D7"/>
    <w:rsid w:val="00223D0D"/>
    <w:rsid w:val="00232544"/>
    <w:rsid w:val="00253D3E"/>
    <w:rsid w:val="002B7DDF"/>
    <w:rsid w:val="002D5990"/>
    <w:rsid w:val="00313A83"/>
    <w:rsid w:val="003A3F7F"/>
    <w:rsid w:val="003C4913"/>
    <w:rsid w:val="003C6FA6"/>
    <w:rsid w:val="004A28C7"/>
    <w:rsid w:val="004C3FBF"/>
    <w:rsid w:val="004D7845"/>
    <w:rsid w:val="005718A7"/>
    <w:rsid w:val="00597A5D"/>
    <w:rsid w:val="006423DC"/>
    <w:rsid w:val="00651355"/>
    <w:rsid w:val="00712BA5"/>
    <w:rsid w:val="007147F6"/>
    <w:rsid w:val="0081621C"/>
    <w:rsid w:val="00850BF8"/>
    <w:rsid w:val="00862C04"/>
    <w:rsid w:val="008751A9"/>
    <w:rsid w:val="00895B00"/>
    <w:rsid w:val="00907E58"/>
    <w:rsid w:val="00915BF3"/>
    <w:rsid w:val="00A46EA4"/>
    <w:rsid w:val="00A817A4"/>
    <w:rsid w:val="00A97962"/>
    <w:rsid w:val="00AE0927"/>
    <w:rsid w:val="00AE559B"/>
    <w:rsid w:val="00B3052C"/>
    <w:rsid w:val="00B55517"/>
    <w:rsid w:val="00B60F89"/>
    <w:rsid w:val="00B94551"/>
    <w:rsid w:val="00C264E5"/>
    <w:rsid w:val="00C32626"/>
    <w:rsid w:val="00C37915"/>
    <w:rsid w:val="00CD3216"/>
    <w:rsid w:val="00CD647C"/>
    <w:rsid w:val="00D65B9E"/>
    <w:rsid w:val="00DA2E4D"/>
    <w:rsid w:val="00DB1571"/>
    <w:rsid w:val="00E06E19"/>
    <w:rsid w:val="00E12727"/>
    <w:rsid w:val="00EA14D5"/>
    <w:rsid w:val="00F5705B"/>
    <w:rsid w:val="00F85BF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F71C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16"/>
    <w:rPr>
      <w:rFonts w:ascii="Times" w:eastAsia="Times New Roman" w:hAnsi="Times" w:cs="Times New Roman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4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416"/>
    <w:rPr>
      <w:rFonts w:ascii="Times" w:eastAsia="Times New Roman" w:hAnsi="Times" w:cs="Times New Roman"/>
      <w:szCs w:val="20"/>
      <w:lang w:val="tr-TR"/>
    </w:rPr>
  </w:style>
  <w:style w:type="paragraph" w:styleId="Footer">
    <w:name w:val="footer"/>
    <w:basedOn w:val="Normal"/>
    <w:link w:val="FooterChar"/>
    <w:uiPriority w:val="99"/>
    <w:rsid w:val="000634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416"/>
    <w:rPr>
      <w:rFonts w:ascii="Times" w:eastAsia="Times New Roman" w:hAnsi="Times" w:cs="Times New Roman"/>
      <w:szCs w:val="20"/>
      <w:lang w:val="tr-TR"/>
    </w:rPr>
  </w:style>
  <w:style w:type="character" w:styleId="PageNumber">
    <w:name w:val="page number"/>
    <w:basedOn w:val="DefaultParagraphFont"/>
    <w:uiPriority w:val="99"/>
    <w:rsid w:val="00063416"/>
    <w:rPr>
      <w:rFonts w:cs="Times New Roman"/>
    </w:rPr>
  </w:style>
  <w:style w:type="paragraph" w:styleId="ListParagraph">
    <w:name w:val="List Paragraph"/>
    <w:basedOn w:val="Normal"/>
    <w:uiPriority w:val="34"/>
    <w:qFormat/>
    <w:rsid w:val="00063416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063416"/>
    <w:pPr>
      <w:widowControl w:val="0"/>
      <w:autoSpaceDE w:val="0"/>
      <w:autoSpaceDN w:val="0"/>
      <w:adjustRightInd w:val="0"/>
      <w:spacing w:line="283" w:lineRule="atLeast"/>
    </w:pPr>
    <w:rPr>
      <w:rFonts w:cs="Times"/>
      <w:szCs w:val="24"/>
      <w:lang w:eastAsia="tr-TR"/>
    </w:rPr>
  </w:style>
  <w:style w:type="paragraph" w:customStyle="1" w:styleId="CM10">
    <w:name w:val="CM10"/>
    <w:basedOn w:val="Normal"/>
    <w:next w:val="Normal"/>
    <w:uiPriority w:val="99"/>
    <w:rsid w:val="00063416"/>
    <w:pPr>
      <w:widowControl w:val="0"/>
      <w:autoSpaceDE w:val="0"/>
      <w:autoSpaceDN w:val="0"/>
      <w:adjustRightInd w:val="0"/>
    </w:pPr>
    <w:rPr>
      <w:rFonts w:cs="Times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8"/>
    <w:rPr>
      <w:rFonts w:ascii="Lucida Grande" w:eastAsia="Times New Roman" w:hAnsi="Lucida Grande" w:cs="Lucida Grande"/>
      <w:sz w:val="18"/>
      <w:szCs w:val="18"/>
      <w:lang w:val="tr-TR"/>
    </w:rPr>
  </w:style>
  <w:style w:type="paragraph" w:customStyle="1" w:styleId="Style4">
    <w:name w:val="Style4"/>
    <w:basedOn w:val="Normal"/>
    <w:rsid w:val="00B94551"/>
    <w:pPr>
      <w:spacing w:before="200" w:line="280" w:lineRule="atLeast"/>
      <w:jc w:val="both"/>
    </w:pPr>
    <w:rPr>
      <w:rFonts w:ascii="TimesTürk" w:hAnsi="TimesTürk"/>
    </w:rPr>
  </w:style>
  <w:style w:type="character" w:styleId="Hyperlink">
    <w:name w:val="Hyperlink"/>
    <w:basedOn w:val="DefaultParagraphFont"/>
    <w:uiPriority w:val="99"/>
    <w:unhideWhenUsed/>
    <w:rsid w:val="004D7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16"/>
    <w:rPr>
      <w:rFonts w:ascii="Times" w:eastAsia="Times New Roman" w:hAnsi="Times" w:cs="Times New Roman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4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416"/>
    <w:rPr>
      <w:rFonts w:ascii="Times" w:eastAsia="Times New Roman" w:hAnsi="Times" w:cs="Times New Roman"/>
      <w:szCs w:val="20"/>
      <w:lang w:val="tr-TR"/>
    </w:rPr>
  </w:style>
  <w:style w:type="paragraph" w:styleId="Footer">
    <w:name w:val="footer"/>
    <w:basedOn w:val="Normal"/>
    <w:link w:val="FooterChar"/>
    <w:uiPriority w:val="99"/>
    <w:rsid w:val="000634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416"/>
    <w:rPr>
      <w:rFonts w:ascii="Times" w:eastAsia="Times New Roman" w:hAnsi="Times" w:cs="Times New Roman"/>
      <w:szCs w:val="20"/>
      <w:lang w:val="tr-TR"/>
    </w:rPr>
  </w:style>
  <w:style w:type="character" w:styleId="PageNumber">
    <w:name w:val="page number"/>
    <w:basedOn w:val="DefaultParagraphFont"/>
    <w:uiPriority w:val="99"/>
    <w:rsid w:val="00063416"/>
    <w:rPr>
      <w:rFonts w:cs="Times New Roman"/>
    </w:rPr>
  </w:style>
  <w:style w:type="paragraph" w:styleId="ListParagraph">
    <w:name w:val="List Paragraph"/>
    <w:basedOn w:val="Normal"/>
    <w:uiPriority w:val="34"/>
    <w:qFormat/>
    <w:rsid w:val="00063416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063416"/>
    <w:pPr>
      <w:widowControl w:val="0"/>
      <w:autoSpaceDE w:val="0"/>
      <w:autoSpaceDN w:val="0"/>
      <w:adjustRightInd w:val="0"/>
      <w:spacing w:line="283" w:lineRule="atLeast"/>
    </w:pPr>
    <w:rPr>
      <w:rFonts w:cs="Times"/>
      <w:szCs w:val="24"/>
      <w:lang w:eastAsia="tr-TR"/>
    </w:rPr>
  </w:style>
  <w:style w:type="paragraph" w:customStyle="1" w:styleId="CM10">
    <w:name w:val="CM10"/>
    <w:basedOn w:val="Normal"/>
    <w:next w:val="Normal"/>
    <w:uiPriority w:val="99"/>
    <w:rsid w:val="00063416"/>
    <w:pPr>
      <w:widowControl w:val="0"/>
      <w:autoSpaceDE w:val="0"/>
      <w:autoSpaceDN w:val="0"/>
      <w:adjustRightInd w:val="0"/>
    </w:pPr>
    <w:rPr>
      <w:rFonts w:cs="Times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8"/>
    <w:rPr>
      <w:rFonts w:ascii="Lucida Grande" w:eastAsia="Times New Roman" w:hAnsi="Lucida Grande" w:cs="Lucida Grande"/>
      <w:sz w:val="18"/>
      <w:szCs w:val="18"/>
      <w:lang w:val="tr-TR"/>
    </w:rPr>
  </w:style>
  <w:style w:type="paragraph" w:customStyle="1" w:styleId="Style4">
    <w:name w:val="Style4"/>
    <w:basedOn w:val="Normal"/>
    <w:rsid w:val="00B94551"/>
    <w:pPr>
      <w:spacing w:before="200" w:line="280" w:lineRule="atLeast"/>
      <w:jc w:val="both"/>
    </w:pPr>
    <w:rPr>
      <w:rFonts w:ascii="TimesTürk" w:hAnsi="TimesTürk"/>
    </w:rPr>
  </w:style>
  <w:style w:type="character" w:styleId="Hyperlink">
    <w:name w:val="Hyperlink"/>
    <w:basedOn w:val="DefaultParagraphFont"/>
    <w:uiPriority w:val="99"/>
    <w:unhideWhenUsed/>
    <w:rsid w:val="004D7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ufam@titck.gov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tck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B4F0-3A35-4D86-9B3B-BEDC3A1D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Tuba Aksoy</cp:lastModifiedBy>
  <cp:revision>7</cp:revision>
  <cp:lastPrinted>2012-11-22T21:06:00Z</cp:lastPrinted>
  <dcterms:created xsi:type="dcterms:W3CDTF">2014-10-20T13:43:00Z</dcterms:created>
  <dcterms:modified xsi:type="dcterms:W3CDTF">2014-11-27T14:11:00Z</dcterms:modified>
</cp:coreProperties>
</file>